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2C4" w:rsidRPr="00FB52C4" w:rsidRDefault="00FB52C4" w:rsidP="00FB52C4">
      <w:pPr>
        <w:jc w:val="both"/>
        <w:rPr>
          <w:rFonts w:ascii="Arial" w:hAnsi="Arial" w:cs="Arial"/>
          <w:sz w:val="24"/>
          <w:szCs w:val="24"/>
        </w:rPr>
      </w:pPr>
      <w:bookmarkStart w:id="0" w:name="_GoBack"/>
      <w:bookmarkEnd w:id="0"/>
    </w:p>
    <w:p w:rsidR="00FB52C4" w:rsidRDefault="00FB52C4" w:rsidP="00FB52C4">
      <w:pPr>
        <w:jc w:val="center"/>
        <w:rPr>
          <w:rFonts w:ascii="Arial" w:hAnsi="Arial" w:cs="Arial"/>
          <w:sz w:val="24"/>
          <w:szCs w:val="24"/>
        </w:rPr>
      </w:pPr>
      <w:r>
        <w:rPr>
          <w:rFonts w:ascii="Arial" w:hAnsi="Arial" w:cs="Arial"/>
          <w:sz w:val="24"/>
          <w:szCs w:val="24"/>
        </w:rPr>
        <w:t xml:space="preserve">USUCAPIÃO EXTRAJUDICIAL </w:t>
      </w:r>
    </w:p>
    <w:p w:rsidR="00FB52C4" w:rsidRPr="00FB52C4" w:rsidRDefault="00216C63" w:rsidP="00FB52C4">
      <w:pPr>
        <w:jc w:val="center"/>
        <w:rPr>
          <w:rFonts w:ascii="Arial" w:hAnsi="Arial" w:cs="Arial"/>
          <w:sz w:val="24"/>
          <w:szCs w:val="24"/>
        </w:rPr>
      </w:pPr>
      <w:r>
        <w:rPr>
          <w:rFonts w:ascii="Arial" w:hAnsi="Arial" w:cs="Arial"/>
          <w:sz w:val="24"/>
          <w:szCs w:val="24"/>
        </w:rPr>
        <w:t xml:space="preserve">E O </w:t>
      </w:r>
      <w:r w:rsidR="00FB52C4">
        <w:rPr>
          <w:rFonts w:ascii="Arial" w:hAnsi="Arial" w:cs="Arial"/>
          <w:sz w:val="24"/>
          <w:szCs w:val="24"/>
        </w:rPr>
        <w:t>ENUNCIADO 108 DO CEDES</w:t>
      </w:r>
    </w:p>
    <w:p w:rsidR="00FB52C4" w:rsidRPr="00FB52C4" w:rsidRDefault="00FB52C4" w:rsidP="00FB52C4">
      <w:pPr>
        <w:jc w:val="both"/>
        <w:rPr>
          <w:rFonts w:ascii="Arial" w:hAnsi="Arial" w:cs="Arial"/>
          <w:sz w:val="24"/>
          <w:szCs w:val="24"/>
        </w:rPr>
      </w:pPr>
    </w:p>
    <w:p w:rsidR="009B2F7E" w:rsidRDefault="008B3BFC" w:rsidP="00FB52C4">
      <w:pPr>
        <w:jc w:val="both"/>
        <w:rPr>
          <w:rFonts w:ascii="Arial" w:hAnsi="Arial" w:cs="Arial"/>
          <w:sz w:val="24"/>
          <w:szCs w:val="24"/>
        </w:rPr>
      </w:pPr>
      <w:r w:rsidRPr="00FB52C4">
        <w:rPr>
          <w:rFonts w:ascii="Arial" w:hAnsi="Arial" w:cs="Arial"/>
          <w:sz w:val="24"/>
          <w:szCs w:val="24"/>
        </w:rPr>
        <w:t xml:space="preserve"> </w:t>
      </w:r>
    </w:p>
    <w:p w:rsidR="00FB52C4" w:rsidRDefault="00FB52C4" w:rsidP="00FB52C4">
      <w:pPr>
        <w:jc w:val="both"/>
        <w:rPr>
          <w:rFonts w:ascii="Arial" w:hAnsi="Arial" w:cs="Arial"/>
          <w:sz w:val="24"/>
          <w:szCs w:val="24"/>
        </w:rPr>
      </w:pPr>
    </w:p>
    <w:p w:rsidR="00FB52C4" w:rsidRDefault="00FB52C4" w:rsidP="00FB52C4">
      <w:pPr>
        <w:jc w:val="both"/>
        <w:rPr>
          <w:rFonts w:ascii="Arial" w:hAnsi="Arial" w:cs="Arial"/>
          <w:sz w:val="24"/>
          <w:szCs w:val="24"/>
        </w:rPr>
      </w:pPr>
    </w:p>
    <w:p w:rsidR="00FB52C4" w:rsidRDefault="00FB52C4" w:rsidP="00FB52C4">
      <w:pPr>
        <w:ind w:firstLine="3544"/>
        <w:jc w:val="both"/>
        <w:rPr>
          <w:rFonts w:ascii="Arial" w:hAnsi="Arial" w:cs="Arial"/>
          <w:sz w:val="24"/>
          <w:szCs w:val="24"/>
        </w:rPr>
      </w:pPr>
      <w:r>
        <w:rPr>
          <w:rFonts w:ascii="Arial" w:hAnsi="Arial" w:cs="Arial"/>
          <w:sz w:val="24"/>
          <w:szCs w:val="24"/>
        </w:rPr>
        <w:t xml:space="preserve">O artigo 1.071, do Novo Código de Processo Civil, acresceu à Lei n° 6.015/73 (Lei de Registros Públicos) o artigo 216-A, para prever a possibilidade do reconhecimento administrativo da usucapião, perante o próprio Cartório do Registro de Imóveis da circunscrição do imóvel </w:t>
      </w:r>
      <w:proofErr w:type="spellStart"/>
      <w:r>
        <w:rPr>
          <w:rFonts w:ascii="Arial" w:hAnsi="Arial" w:cs="Arial"/>
          <w:sz w:val="24"/>
          <w:szCs w:val="24"/>
        </w:rPr>
        <w:t>usucapiendo</w:t>
      </w:r>
      <w:proofErr w:type="spellEnd"/>
      <w:r>
        <w:rPr>
          <w:rFonts w:ascii="Arial" w:hAnsi="Arial" w:cs="Arial"/>
          <w:sz w:val="24"/>
          <w:szCs w:val="24"/>
        </w:rPr>
        <w:t>.</w:t>
      </w:r>
    </w:p>
    <w:p w:rsidR="00FB52C4" w:rsidRDefault="00FB52C4" w:rsidP="00FB52C4">
      <w:pPr>
        <w:ind w:firstLine="3544"/>
        <w:jc w:val="both"/>
        <w:rPr>
          <w:rFonts w:ascii="Arial" w:hAnsi="Arial" w:cs="Arial"/>
          <w:sz w:val="24"/>
          <w:szCs w:val="24"/>
        </w:rPr>
      </w:pPr>
    </w:p>
    <w:p w:rsidR="00FB52C4" w:rsidRDefault="00FB52C4" w:rsidP="00FB52C4">
      <w:pPr>
        <w:ind w:firstLine="3544"/>
        <w:jc w:val="both"/>
        <w:rPr>
          <w:rFonts w:ascii="Arial" w:hAnsi="Arial" w:cs="Arial"/>
          <w:sz w:val="24"/>
          <w:szCs w:val="24"/>
        </w:rPr>
      </w:pPr>
      <w:r>
        <w:rPr>
          <w:rFonts w:ascii="Arial" w:hAnsi="Arial" w:cs="Arial"/>
          <w:sz w:val="24"/>
          <w:szCs w:val="24"/>
        </w:rPr>
        <w:t>O artigo 216-A, da Lei n° 6.015/73, tem a seguinte redação:</w:t>
      </w:r>
    </w:p>
    <w:p w:rsidR="00FB52C4" w:rsidRDefault="00FB52C4" w:rsidP="00FB52C4">
      <w:pPr>
        <w:ind w:firstLine="3544"/>
        <w:jc w:val="both"/>
        <w:rPr>
          <w:rFonts w:ascii="Arial" w:hAnsi="Arial" w:cs="Arial"/>
          <w:sz w:val="24"/>
          <w:szCs w:val="24"/>
        </w:rPr>
      </w:pPr>
    </w:p>
    <w:p w:rsidR="00FB52C4" w:rsidRPr="00FB52C4" w:rsidRDefault="00FB52C4" w:rsidP="00FB52C4">
      <w:pPr>
        <w:ind w:left="708"/>
        <w:jc w:val="both"/>
        <w:rPr>
          <w:rFonts w:ascii="Arial" w:hAnsi="Arial" w:cs="Arial"/>
          <w:sz w:val="22"/>
          <w:szCs w:val="22"/>
        </w:rPr>
      </w:pPr>
      <w:r w:rsidRPr="00FB52C4">
        <w:rPr>
          <w:rFonts w:ascii="Arial" w:hAnsi="Arial" w:cs="Arial"/>
          <w:sz w:val="22"/>
          <w:szCs w:val="22"/>
        </w:rPr>
        <w:t xml:space="preserve">“Art. 261-A. </w:t>
      </w:r>
      <w:r w:rsidRPr="00FB52C4">
        <w:rPr>
          <w:rFonts w:ascii="Arial" w:hAnsi="Arial" w:cs="Arial"/>
          <w:b/>
          <w:sz w:val="22"/>
          <w:szCs w:val="22"/>
        </w:rPr>
        <w:t>Sem prejuízo da via jurisdicional</w:t>
      </w:r>
      <w:r w:rsidRPr="00FB52C4">
        <w:rPr>
          <w:rFonts w:ascii="Arial" w:hAnsi="Arial" w:cs="Arial"/>
          <w:sz w:val="22"/>
          <w:szCs w:val="22"/>
        </w:rPr>
        <w:t xml:space="preserve">, é admitido o pedido de reconhecimento extrajudicial de usucapião, que será processado diretamente perante o cartório do registro de imóveis da comarca em que estiver situado o imóvel </w:t>
      </w:r>
      <w:proofErr w:type="spellStart"/>
      <w:r w:rsidRPr="00FB52C4">
        <w:rPr>
          <w:rFonts w:ascii="Arial" w:hAnsi="Arial" w:cs="Arial"/>
          <w:sz w:val="22"/>
          <w:szCs w:val="22"/>
        </w:rPr>
        <w:t>usucapiendo</w:t>
      </w:r>
      <w:proofErr w:type="spellEnd"/>
      <w:r w:rsidRPr="00FB52C4">
        <w:rPr>
          <w:rFonts w:ascii="Arial" w:hAnsi="Arial" w:cs="Arial"/>
          <w:sz w:val="22"/>
          <w:szCs w:val="22"/>
        </w:rPr>
        <w:t>, a requerimento do interessado, representado por advogado, instruído com:</w:t>
      </w:r>
    </w:p>
    <w:p w:rsidR="00FB52C4" w:rsidRPr="00FB52C4" w:rsidRDefault="00FB52C4" w:rsidP="00FB52C4">
      <w:pPr>
        <w:ind w:left="708"/>
        <w:jc w:val="both"/>
        <w:rPr>
          <w:rFonts w:ascii="Arial" w:hAnsi="Arial" w:cs="Arial"/>
          <w:sz w:val="22"/>
          <w:szCs w:val="22"/>
        </w:rPr>
      </w:pPr>
    </w:p>
    <w:p w:rsidR="00FB52C4" w:rsidRPr="00FB52C4" w:rsidRDefault="00FB52C4" w:rsidP="00FB52C4">
      <w:pPr>
        <w:ind w:left="708"/>
        <w:jc w:val="both"/>
        <w:rPr>
          <w:rFonts w:ascii="Arial" w:hAnsi="Arial" w:cs="Arial"/>
          <w:sz w:val="22"/>
          <w:szCs w:val="22"/>
        </w:rPr>
      </w:pPr>
      <w:r w:rsidRPr="00FB52C4">
        <w:rPr>
          <w:rFonts w:ascii="Arial" w:hAnsi="Arial" w:cs="Arial"/>
          <w:sz w:val="22"/>
          <w:szCs w:val="22"/>
        </w:rPr>
        <w:t>I - ata notarial lavrada pelo tabelião, atestando o tempo de posse do requerente e seus antecessores, conforme o caso e suas circunstâncias;</w:t>
      </w:r>
    </w:p>
    <w:p w:rsidR="00FB52C4" w:rsidRPr="00FB52C4" w:rsidRDefault="00FB52C4" w:rsidP="00FB52C4">
      <w:pPr>
        <w:ind w:left="708"/>
        <w:jc w:val="both"/>
        <w:rPr>
          <w:rFonts w:ascii="Arial" w:hAnsi="Arial" w:cs="Arial"/>
          <w:sz w:val="22"/>
          <w:szCs w:val="22"/>
        </w:rPr>
      </w:pPr>
    </w:p>
    <w:p w:rsidR="00FB52C4" w:rsidRPr="00FB52C4" w:rsidRDefault="00FB52C4" w:rsidP="00FB52C4">
      <w:pPr>
        <w:ind w:left="708"/>
        <w:jc w:val="both"/>
        <w:rPr>
          <w:rFonts w:ascii="Arial" w:hAnsi="Arial" w:cs="Arial"/>
          <w:sz w:val="22"/>
          <w:szCs w:val="22"/>
        </w:rPr>
      </w:pPr>
      <w:r w:rsidRPr="00FB52C4">
        <w:rPr>
          <w:rFonts w:ascii="Arial" w:hAnsi="Arial" w:cs="Arial"/>
          <w:sz w:val="22"/>
          <w:szCs w:val="22"/>
        </w:rPr>
        <w:t xml:space="preserve">II - planta e memorial descritivo assinado por profissional legalmente habilitado, com prova de anotação de responsabilidade técnica no respectivo conselho de fiscalização profissional, e pelos titulares de direitos reais e de outros direitos registrados ou averbados na matrícula do imóvel </w:t>
      </w:r>
      <w:proofErr w:type="spellStart"/>
      <w:r w:rsidRPr="00FB52C4">
        <w:rPr>
          <w:rFonts w:ascii="Arial" w:hAnsi="Arial" w:cs="Arial"/>
          <w:sz w:val="22"/>
          <w:szCs w:val="22"/>
        </w:rPr>
        <w:t>usucapiendo</w:t>
      </w:r>
      <w:proofErr w:type="spellEnd"/>
      <w:r w:rsidRPr="00FB52C4">
        <w:rPr>
          <w:rFonts w:ascii="Arial" w:hAnsi="Arial" w:cs="Arial"/>
          <w:sz w:val="22"/>
          <w:szCs w:val="22"/>
        </w:rPr>
        <w:t xml:space="preserve"> e na matrícula dos imóveis confinantes;</w:t>
      </w:r>
    </w:p>
    <w:p w:rsidR="00FB52C4" w:rsidRPr="00FB52C4" w:rsidRDefault="00FB52C4" w:rsidP="00FB52C4">
      <w:pPr>
        <w:ind w:left="708"/>
        <w:jc w:val="both"/>
        <w:rPr>
          <w:rFonts w:ascii="Arial" w:hAnsi="Arial" w:cs="Arial"/>
          <w:sz w:val="22"/>
          <w:szCs w:val="22"/>
        </w:rPr>
      </w:pPr>
    </w:p>
    <w:p w:rsidR="00FB52C4" w:rsidRPr="00FB52C4" w:rsidRDefault="00FB52C4" w:rsidP="00FB52C4">
      <w:pPr>
        <w:ind w:left="708"/>
        <w:jc w:val="both"/>
        <w:rPr>
          <w:rFonts w:ascii="Arial" w:hAnsi="Arial" w:cs="Arial"/>
          <w:sz w:val="22"/>
          <w:szCs w:val="22"/>
        </w:rPr>
      </w:pPr>
      <w:r w:rsidRPr="00FB52C4">
        <w:rPr>
          <w:rFonts w:ascii="Arial" w:hAnsi="Arial" w:cs="Arial"/>
          <w:sz w:val="22"/>
          <w:szCs w:val="22"/>
        </w:rPr>
        <w:t>III - certidões negativas dos distribuidores da comarca da situação do imóvel e do domicílio do requerente;</w:t>
      </w:r>
    </w:p>
    <w:p w:rsidR="00FB52C4" w:rsidRPr="00FB52C4" w:rsidRDefault="00FB52C4" w:rsidP="00FB52C4">
      <w:pPr>
        <w:ind w:left="708"/>
        <w:jc w:val="both"/>
        <w:rPr>
          <w:rFonts w:ascii="Arial" w:hAnsi="Arial" w:cs="Arial"/>
          <w:sz w:val="22"/>
          <w:szCs w:val="22"/>
        </w:rPr>
      </w:pPr>
    </w:p>
    <w:p w:rsidR="00FB52C4" w:rsidRPr="00FB52C4" w:rsidRDefault="00FB52C4" w:rsidP="00FB52C4">
      <w:pPr>
        <w:ind w:left="708"/>
        <w:jc w:val="both"/>
        <w:rPr>
          <w:rFonts w:ascii="Arial" w:hAnsi="Arial" w:cs="Arial"/>
          <w:sz w:val="22"/>
          <w:szCs w:val="22"/>
        </w:rPr>
      </w:pPr>
      <w:r w:rsidRPr="00FB52C4">
        <w:rPr>
          <w:rFonts w:ascii="Arial" w:hAnsi="Arial" w:cs="Arial"/>
          <w:sz w:val="22"/>
          <w:szCs w:val="22"/>
        </w:rPr>
        <w:t>IV - justo título ou quaisquer outros documentos que demonstrem a origem, a continuidade, a natureza e o tempo da posse, tais como o pagamento dos impostos e das taxas que incidirem sobre o imóvel.</w:t>
      </w:r>
    </w:p>
    <w:p w:rsidR="00FB52C4" w:rsidRPr="00FB52C4" w:rsidRDefault="00FB52C4" w:rsidP="00FB52C4">
      <w:pPr>
        <w:ind w:left="708"/>
        <w:jc w:val="both"/>
        <w:rPr>
          <w:rFonts w:ascii="Arial" w:hAnsi="Arial" w:cs="Arial"/>
          <w:sz w:val="22"/>
          <w:szCs w:val="22"/>
        </w:rPr>
      </w:pPr>
    </w:p>
    <w:p w:rsidR="00FB52C4" w:rsidRPr="00FB52C4" w:rsidRDefault="00FB52C4" w:rsidP="00FB52C4">
      <w:pPr>
        <w:ind w:left="708"/>
        <w:jc w:val="both"/>
        <w:rPr>
          <w:rFonts w:ascii="Arial" w:hAnsi="Arial" w:cs="Arial"/>
          <w:sz w:val="22"/>
          <w:szCs w:val="22"/>
        </w:rPr>
      </w:pPr>
      <w:r w:rsidRPr="00FB52C4">
        <w:rPr>
          <w:rFonts w:ascii="Arial" w:hAnsi="Arial" w:cs="Arial"/>
          <w:sz w:val="22"/>
          <w:szCs w:val="22"/>
        </w:rPr>
        <w:t xml:space="preserve">§ 1° O pedido será autuado pelo registrador, prorrogando-se o prazo da </w:t>
      </w:r>
      <w:proofErr w:type="spellStart"/>
      <w:r w:rsidRPr="00FB52C4">
        <w:rPr>
          <w:rFonts w:ascii="Arial" w:hAnsi="Arial" w:cs="Arial"/>
          <w:sz w:val="22"/>
          <w:szCs w:val="22"/>
        </w:rPr>
        <w:t>prenotação</w:t>
      </w:r>
      <w:proofErr w:type="spellEnd"/>
      <w:r w:rsidRPr="00FB52C4">
        <w:rPr>
          <w:rFonts w:ascii="Arial" w:hAnsi="Arial" w:cs="Arial"/>
          <w:sz w:val="22"/>
          <w:szCs w:val="22"/>
        </w:rPr>
        <w:t xml:space="preserve"> até o acolhimento ou a rejeição do pedido.</w:t>
      </w:r>
    </w:p>
    <w:p w:rsidR="00FB52C4" w:rsidRPr="00FB52C4" w:rsidRDefault="00FB52C4" w:rsidP="00FB52C4">
      <w:pPr>
        <w:ind w:left="708"/>
        <w:jc w:val="both"/>
        <w:rPr>
          <w:rFonts w:ascii="Arial" w:hAnsi="Arial" w:cs="Arial"/>
          <w:sz w:val="22"/>
          <w:szCs w:val="22"/>
        </w:rPr>
      </w:pPr>
    </w:p>
    <w:p w:rsidR="00FB52C4" w:rsidRPr="0053711C" w:rsidRDefault="00FB52C4" w:rsidP="00FB52C4">
      <w:pPr>
        <w:ind w:left="708"/>
        <w:jc w:val="both"/>
        <w:rPr>
          <w:rFonts w:ascii="Arial" w:hAnsi="Arial" w:cs="Arial"/>
          <w:b/>
          <w:sz w:val="22"/>
          <w:szCs w:val="22"/>
        </w:rPr>
      </w:pPr>
      <w:r w:rsidRPr="00FB52C4">
        <w:rPr>
          <w:rFonts w:ascii="Arial" w:hAnsi="Arial" w:cs="Arial"/>
          <w:sz w:val="22"/>
          <w:szCs w:val="22"/>
        </w:rPr>
        <w:t xml:space="preserve">§ 2° Se a planta não contiver a assinatura de qualquer um dos titulares de direitos reais e de outros direitos registrados ou averbados na matrícula do imóvel </w:t>
      </w:r>
      <w:proofErr w:type="spellStart"/>
      <w:r w:rsidRPr="00FB52C4">
        <w:rPr>
          <w:rFonts w:ascii="Arial" w:hAnsi="Arial" w:cs="Arial"/>
          <w:sz w:val="22"/>
          <w:szCs w:val="22"/>
        </w:rPr>
        <w:t>usucapiendo</w:t>
      </w:r>
      <w:proofErr w:type="spellEnd"/>
      <w:r w:rsidRPr="00FB52C4">
        <w:rPr>
          <w:rFonts w:ascii="Arial" w:hAnsi="Arial" w:cs="Arial"/>
          <w:sz w:val="22"/>
          <w:szCs w:val="22"/>
        </w:rPr>
        <w:t xml:space="preserve"> e na matrícula dos imóveis confinantes, esse será notificado pelo registrador competente, pessoalmente ou pelo correio com aviso de recebimento, para manifestar seu consentimento expresso em 15 (quinze) dias, </w:t>
      </w:r>
      <w:r w:rsidRPr="0053711C">
        <w:rPr>
          <w:rFonts w:ascii="Arial" w:hAnsi="Arial" w:cs="Arial"/>
          <w:b/>
          <w:sz w:val="22"/>
          <w:szCs w:val="22"/>
        </w:rPr>
        <w:t>interpretado o seu silêncio como discordância.</w:t>
      </w:r>
    </w:p>
    <w:p w:rsidR="00FB52C4" w:rsidRPr="00FB52C4" w:rsidRDefault="00FB52C4" w:rsidP="00FB52C4">
      <w:pPr>
        <w:ind w:left="708"/>
        <w:jc w:val="both"/>
        <w:rPr>
          <w:rFonts w:ascii="Arial" w:hAnsi="Arial" w:cs="Arial"/>
          <w:sz w:val="22"/>
          <w:szCs w:val="22"/>
        </w:rPr>
      </w:pPr>
    </w:p>
    <w:p w:rsidR="00FB52C4" w:rsidRPr="00FB52C4" w:rsidRDefault="00FB52C4" w:rsidP="00FB52C4">
      <w:pPr>
        <w:ind w:left="708"/>
        <w:jc w:val="both"/>
        <w:rPr>
          <w:rFonts w:ascii="Arial" w:hAnsi="Arial" w:cs="Arial"/>
          <w:sz w:val="22"/>
          <w:szCs w:val="22"/>
        </w:rPr>
      </w:pPr>
      <w:r w:rsidRPr="00FB52C4">
        <w:rPr>
          <w:rFonts w:ascii="Arial" w:hAnsi="Arial" w:cs="Arial"/>
          <w:sz w:val="22"/>
          <w:szCs w:val="22"/>
        </w:rPr>
        <w:t>§ 3° O oficial de registro de imóveis dará ciência à União, ao Estado, ao Distrito Federal e ao Município, pessoalmente, por intermédio do oficial de registro de títulos e documentos, ou pelo correio com aviso de recebimento, para que se manifestem, em 15 (quinze) dias, sobre o pedido.</w:t>
      </w:r>
    </w:p>
    <w:p w:rsidR="00FB52C4" w:rsidRPr="00FB52C4" w:rsidRDefault="00FB52C4" w:rsidP="00FB52C4">
      <w:pPr>
        <w:ind w:left="708"/>
        <w:jc w:val="both"/>
        <w:rPr>
          <w:rFonts w:ascii="Arial" w:hAnsi="Arial" w:cs="Arial"/>
          <w:sz w:val="22"/>
          <w:szCs w:val="22"/>
        </w:rPr>
      </w:pPr>
    </w:p>
    <w:p w:rsidR="00FB52C4" w:rsidRPr="00FB52C4" w:rsidRDefault="00FB52C4" w:rsidP="00FB52C4">
      <w:pPr>
        <w:ind w:left="708"/>
        <w:jc w:val="both"/>
        <w:rPr>
          <w:rFonts w:ascii="Arial" w:hAnsi="Arial" w:cs="Arial"/>
          <w:sz w:val="22"/>
          <w:szCs w:val="22"/>
        </w:rPr>
      </w:pPr>
      <w:r w:rsidRPr="00FB52C4">
        <w:rPr>
          <w:rFonts w:ascii="Arial" w:hAnsi="Arial" w:cs="Arial"/>
          <w:sz w:val="22"/>
          <w:szCs w:val="22"/>
        </w:rPr>
        <w:lastRenderedPageBreak/>
        <w:t>§ 4° O oficial de registro de imóveis promoverá a publicação de edital em jornal de grande circulação, onde houver, para a ciência de terceiros eventualmente interessados, que poderão se manifestar em 15 (quinze) dias.</w:t>
      </w:r>
    </w:p>
    <w:p w:rsidR="00FB52C4" w:rsidRPr="00FB52C4" w:rsidRDefault="00FB52C4" w:rsidP="00FB52C4">
      <w:pPr>
        <w:ind w:left="708"/>
        <w:jc w:val="both"/>
        <w:rPr>
          <w:rFonts w:ascii="Arial" w:hAnsi="Arial" w:cs="Arial"/>
          <w:sz w:val="22"/>
          <w:szCs w:val="22"/>
        </w:rPr>
      </w:pPr>
    </w:p>
    <w:p w:rsidR="00FB52C4" w:rsidRPr="00FB52C4" w:rsidRDefault="00FB52C4" w:rsidP="00FB52C4">
      <w:pPr>
        <w:ind w:left="708"/>
        <w:jc w:val="both"/>
        <w:rPr>
          <w:rFonts w:ascii="Arial" w:hAnsi="Arial" w:cs="Arial"/>
          <w:sz w:val="22"/>
          <w:szCs w:val="22"/>
        </w:rPr>
      </w:pPr>
      <w:r w:rsidRPr="00FB52C4">
        <w:rPr>
          <w:rFonts w:ascii="Arial" w:hAnsi="Arial" w:cs="Arial"/>
          <w:sz w:val="22"/>
          <w:szCs w:val="22"/>
        </w:rPr>
        <w:t>§ 5° Para a elucidação de qualquer ponto de dúvida, poderão ser solicitadas ou realizadas diligências pelo oficial de registro de imóveis.</w:t>
      </w:r>
    </w:p>
    <w:p w:rsidR="00FB52C4" w:rsidRPr="00FB52C4" w:rsidRDefault="00FB52C4" w:rsidP="00FB52C4">
      <w:pPr>
        <w:ind w:left="708"/>
        <w:jc w:val="both"/>
        <w:rPr>
          <w:rFonts w:ascii="Arial" w:hAnsi="Arial" w:cs="Arial"/>
          <w:sz w:val="22"/>
          <w:szCs w:val="22"/>
        </w:rPr>
      </w:pPr>
    </w:p>
    <w:p w:rsidR="00FB52C4" w:rsidRPr="00FB52C4" w:rsidRDefault="00FB52C4" w:rsidP="00FB52C4">
      <w:pPr>
        <w:ind w:left="708"/>
        <w:jc w:val="both"/>
        <w:rPr>
          <w:rFonts w:ascii="Arial" w:hAnsi="Arial" w:cs="Arial"/>
          <w:sz w:val="22"/>
          <w:szCs w:val="22"/>
        </w:rPr>
      </w:pPr>
      <w:r w:rsidRPr="00FB52C4">
        <w:rPr>
          <w:rFonts w:ascii="Arial" w:hAnsi="Arial" w:cs="Arial"/>
          <w:sz w:val="22"/>
          <w:szCs w:val="22"/>
        </w:rPr>
        <w:t xml:space="preserve">§ 6° Transcorrido o prazo de que trata o § 4o deste artigo, sem pendência de diligências na forma do § 5o deste artigo e achando-se em ordem a documentação, </w:t>
      </w:r>
      <w:r w:rsidRPr="0053711C">
        <w:rPr>
          <w:rFonts w:ascii="Arial" w:hAnsi="Arial" w:cs="Arial"/>
          <w:b/>
          <w:sz w:val="22"/>
          <w:szCs w:val="22"/>
        </w:rPr>
        <w:t>com inclusão da concordância expressa</w:t>
      </w:r>
      <w:r w:rsidRPr="00FB52C4">
        <w:rPr>
          <w:rFonts w:ascii="Arial" w:hAnsi="Arial" w:cs="Arial"/>
          <w:sz w:val="22"/>
          <w:szCs w:val="22"/>
        </w:rPr>
        <w:t xml:space="preserve"> dos titulares de direitos reais e de outros direitos registrados ou averbados na matrícula do imóvel </w:t>
      </w:r>
      <w:proofErr w:type="spellStart"/>
      <w:r w:rsidRPr="00FB52C4">
        <w:rPr>
          <w:rFonts w:ascii="Arial" w:hAnsi="Arial" w:cs="Arial"/>
          <w:sz w:val="22"/>
          <w:szCs w:val="22"/>
        </w:rPr>
        <w:t>usucapiendo</w:t>
      </w:r>
      <w:proofErr w:type="spellEnd"/>
      <w:r w:rsidRPr="00FB52C4">
        <w:rPr>
          <w:rFonts w:ascii="Arial" w:hAnsi="Arial" w:cs="Arial"/>
          <w:sz w:val="22"/>
          <w:szCs w:val="22"/>
        </w:rPr>
        <w:t xml:space="preserve"> e na matrícula dos imóveis confinantes, o oficial de registro de imóveis registrará a aquisição do imóvel com as descrições apresentadas, sendo permitida a abertura de matrícula, se for o caso.</w:t>
      </w:r>
    </w:p>
    <w:p w:rsidR="00FB52C4" w:rsidRPr="00FB52C4" w:rsidRDefault="00FB52C4" w:rsidP="00FB52C4">
      <w:pPr>
        <w:ind w:left="708"/>
        <w:jc w:val="both"/>
        <w:rPr>
          <w:rFonts w:ascii="Arial" w:hAnsi="Arial" w:cs="Arial"/>
          <w:sz w:val="22"/>
          <w:szCs w:val="22"/>
        </w:rPr>
      </w:pPr>
    </w:p>
    <w:p w:rsidR="00FB52C4" w:rsidRPr="00FB52C4" w:rsidRDefault="00FB52C4" w:rsidP="00FB52C4">
      <w:pPr>
        <w:ind w:left="708"/>
        <w:jc w:val="both"/>
        <w:rPr>
          <w:rFonts w:ascii="Arial" w:hAnsi="Arial" w:cs="Arial"/>
          <w:sz w:val="22"/>
          <w:szCs w:val="22"/>
        </w:rPr>
      </w:pPr>
      <w:r w:rsidRPr="00FB52C4">
        <w:rPr>
          <w:rFonts w:ascii="Arial" w:hAnsi="Arial" w:cs="Arial"/>
          <w:sz w:val="22"/>
          <w:szCs w:val="22"/>
        </w:rPr>
        <w:t>§ 7° Em qualquer caso, é lícito ao interessado suscitar o procedimento de dúvida, nos termos desta Lei.</w:t>
      </w:r>
    </w:p>
    <w:p w:rsidR="00FB52C4" w:rsidRPr="00FB52C4" w:rsidRDefault="00FB52C4" w:rsidP="00FB52C4">
      <w:pPr>
        <w:ind w:left="708"/>
        <w:jc w:val="both"/>
        <w:rPr>
          <w:rFonts w:ascii="Arial" w:hAnsi="Arial" w:cs="Arial"/>
          <w:sz w:val="22"/>
          <w:szCs w:val="22"/>
        </w:rPr>
      </w:pPr>
    </w:p>
    <w:p w:rsidR="00FB52C4" w:rsidRPr="00FB52C4" w:rsidRDefault="00FB52C4" w:rsidP="00FB52C4">
      <w:pPr>
        <w:ind w:left="708"/>
        <w:jc w:val="both"/>
        <w:rPr>
          <w:rFonts w:ascii="Arial" w:hAnsi="Arial" w:cs="Arial"/>
          <w:sz w:val="22"/>
          <w:szCs w:val="22"/>
        </w:rPr>
      </w:pPr>
      <w:r w:rsidRPr="00FB52C4">
        <w:rPr>
          <w:rFonts w:ascii="Arial" w:hAnsi="Arial" w:cs="Arial"/>
          <w:sz w:val="22"/>
          <w:szCs w:val="22"/>
        </w:rPr>
        <w:t>§ 8° Ao final das diligências, se a documentação não estiver em ordem, o oficial de registro de imóveis rejeitará o pedido.</w:t>
      </w:r>
    </w:p>
    <w:p w:rsidR="00FB52C4" w:rsidRPr="00FB52C4" w:rsidRDefault="00FB52C4" w:rsidP="00FB52C4">
      <w:pPr>
        <w:ind w:left="708"/>
        <w:jc w:val="both"/>
        <w:rPr>
          <w:rFonts w:ascii="Arial" w:hAnsi="Arial" w:cs="Arial"/>
          <w:sz w:val="22"/>
          <w:szCs w:val="22"/>
        </w:rPr>
      </w:pPr>
    </w:p>
    <w:p w:rsidR="00FB52C4" w:rsidRPr="00FB52C4" w:rsidRDefault="00FB52C4" w:rsidP="00FB52C4">
      <w:pPr>
        <w:ind w:left="708"/>
        <w:jc w:val="both"/>
        <w:rPr>
          <w:rFonts w:ascii="Arial" w:hAnsi="Arial" w:cs="Arial"/>
          <w:sz w:val="22"/>
          <w:szCs w:val="22"/>
        </w:rPr>
      </w:pPr>
      <w:r w:rsidRPr="00FB52C4">
        <w:rPr>
          <w:rFonts w:ascii="Arial" w:hAnsi="Arial" w:cs="Arial"/>
          <w:sz w:val="22"/>
          <w:szCs w:val="22"/>
        </w:rPr>
        <w:t>§ 9° A rejeição do pedido extrajudicial não impede o ajuizamento de ação de usucapião.</w:t>
      </w:r>
    </w:p>
    <w:p w:rsidR="00FB52C4" w:rsidRPr="00FB52C4" w:rsidRDefault="00FB52C4" w:rsidP="00FB52C4">
      <w:pPr>
        <w:ind w:left="708"/>
        <w:jc w:val="both"/>
        <w:rPr>
          <w:rFonts w:ascii="Arial" w:hAnsi="Arial" w:cs="Arial"/>
          <w:sz w:val="22"/>
          <w:szCs w:val="22"/>
        </w:rPr>
      </w:pPr>
    </w:p>
    <w:p w:rsidR="00FB52C4" w:rsidRPr="00FB52C4" w:rsidRDefault="00FB52C4" w:rsidP="00FB52C4">
      <w:pPr>
        <w:ind w:left="708"/>
        <w:jc w:val="both"/>
        <w:rPr>
          <w:rFonts w:ascii="Arial" w:hAnsi="Arial" w:cs="Arial"/>
          <w:sz w:val="22"/>
          <w:szCs w:val="22"/>
        </w:rPr>
      </w:pPr>
      <w:r w:rsidRPr="00FB52C4">
        <w:rPr>
          <w:rFonts w:ascii="Arial" w:hAnsi="Arial" w:cs="Arial"/>
          <w:sz w:val="22"/>
          <w:szCs w:val="22"/>
        </w:rPr>
        <w:t xml:space="preserve">§ 10. Em caso de impugnação do pedido de reconhecimento extrajudicial de usucapião, apresentada por qualquer um dos titulares de direito reais e de outros direitos registrados ou averbados na matrícula do imóvel </w:t>
      </w:r>
      <w:proofErr w:type="spellStart"/>
      <w:r w:rsidRPr="00FB52C4">
        <w:rPr>
          <w:rFonts w:ascii="Arial" w:hAnsi="Arial" w:cs="Arial"/>
          <w:sz w:val="22"/>
          <w:szCs w:val="22"/>
        </w:rPr>
        <w:t>usucapiendo</w:t>
      </w:r>
      <w:proofErr w:type="spellEnd"/>
      <w:r w:rsidRPr="00FB52C4">
        <w:rPr>
          <w:rFonts w:ascii="Arial" w:hAnsi="Arial" w:cs="Arial"/>
          <w:sz w:val="22"/>
          <w:szCs w:val="22"/>
        </w:rPr>
        <w:t xml:space="preserve"> e na matrícula dos imóveis confinantes, por algum dos entes públicos ou por algum terceiro interessado, o oficial de registro de imóveis remeterá os autos ao juízo competente da comarca da situação do imóvel, cabendo ao requerente emendar a petição inicial para adequá-la ao procedimento comum.”</w:t>
      </w:r>
      <w:r w:rsidR="004E736E">
        <w:rPr>
          <w:rFonts w:ascii="Arial" w:hAnsi="Arial" w:cs="Arial"/>
          <w:sz w:val="22"/>
          <w:szCs w:val="22"/>
        </w:rPr>
        <w:t xml:space="preserve"> (</w:t>
      </w:r>
      <w:proofErr w:type="spellStart"/>
      <w:r w:rsidR="004E736E">
        <w:rPr>
          <w:rFonts w:ascii="Arial" w:hAnsi="Arial" w:cs="Arial"/>
          <w:sz w:val="22"/>
          <w:szCs w:val="22"/>
        </w:rPr>
        <w:t>g.n</w:t>
      </w:r>
      <w:proofErr w:type="spellEnd"/>
      <w:r w:rsidR="004E736E">
        <w:rPr>
          <w:rFonts w:ascii="Arial" w:hAnsi="Arial" w:cs="Arial"/>
          <w:sz w:val="22"/>
          <w:szCs w:val="22"/>
        </w:rPr>
        <w:t>.).</w:t>
      </w:r>
    </w:p>
    <w:p w:rsidR="00FB52C4" w:rsidRDefault="00FB52C4" w:rsidP="00FB52C4">
      <w:pPr>
        <w:jc w:val="both"/>
        <w:rPr>
          <w:rFonts w:ascii="Arial" w:hAnsi="Arial" w:cs="Arial"/>
          <w:sz w:val="24"/>
          <w:szCs w:val="24"/>
        </w:rPr>
      </w:pPr>
    </w:p>
    <w:p w:rsidR="00FB52C4" w:rsidRDefault="00FB52C4" w:rsidP="00FB52C4">
      <w:pPr>
        <w:ind w:firstLine="3544"/>
        <w:jc w:val="both"/>
        <w:rPr>
          <w:rFonts w:ascii="Arial" w:hAnsi="Arial" w:cs="Arial"/>
          <w:sz w:val="24"/>
          <w:szCs w:val="24"/>
        </w:rPr>
      </w:pPr>
      <w:r>
        <w:rPr>
          <w:rFonts w:ascii="Arial" w:hAnsi="Arial" w:cs="Arial"/>
          <w:sz w:val="24"/>
          <w:szCs w:val="24"/>
        </w:rPr>
        <w:t>Como se observa, o legislador fez a mesma opção da Lei n° 11.441/07, que previu a possibilidade d</w:t>
      </w:r>
      <w:r w:rsidR="005231B5">
        <w:rPr>
          <w:rFonts w:ascii="Arial" w:hAnsi="Arial" w:cs="Arial"/>
          <w:sz w:val="24"/>
          <w:szCs w:val="24"/>
        </w:rPr>
        <w:t>e</w:t>
      </w:r>
      <w:r>
        <w:rPr>
          <w:rFonts w:ascii="Arial" w:hAnsi="Arial" w:cs="Arial"/>
          <w:sz w:val="24"/>
          <w:szCs w:val="24"/>
        </w:rPr>
        <w:t xml:space="preserve"> divórcio consensual e d</w:t>
      </w:r>
      <w:r w:rsidR="005231B5">
        <w:rPr>
          <w:rFonts w:ascii="Arial" w:hAnsi="Arial" w:cs="Arial"/>
          <w:sz w:val="24"/>
          <w:szCs w:val="24"/>
        </w:rPr>
        <w:t>e</w:t>
      </w:r>
      <w:r>
        <w:rPr>
          <w:rFonts w:ascii="Arial" w:hAnsi="Arial" w:cs="Arial"/>
          <w:sz w:val="24"/>
          <w:szCs w:val="24"/>
        </w:rPr>
        <w:t xml:space="preserve"> inventário e partilha por meio de escritura pública, sem a necessidade de atividade jurisdicional, ainda que de caráter meramente administrativo</w:t>
      </w:r>
      <w:r w:rsidR="005231B5">
        <w:rPr>
          <w:rFonts w:ascii="Arial" w:hAnsi="Arial" w:cs="Arial"/>
          <w:sz w:val="24"/>
          <w:szCs w:val="24"/>
        </w:rPr>
        <w:t>, desde que preenchidos determinados requisitos legais</w:t>
      </w:r>
      <w:r>
        <w:rPr>
          <w:rFonts w:ascii="Arial" w:hAnsi="Arial" w:cs="Arial"/>
          <w:sz w:val="24"/>
          <w:szCs w:val="24"/>
        </w:rPr>
        <w:t>.</w:t>
      </w:r>
    </w:p>
    <w:p w:rsidR="00FB52C4" w:rsidRDefault="00FB52C4" w:rsidP="00FB52C4">
      <w:pPr>
        <w:ind w:firstLine="3544"/>
        <w:jc w:val="both"/>
        <w:rPr>
          <w:rFonts w:ascii="Arial" w:hAnsi="Arial" w:cs="Arial"/>
          <w:sz w:val="24"/>
          <w:szCs w:val="24"/>
        </w:rPr>
      </w:pPr>
    </w:p>
    <w:p w:rsidR="00FB52C4" w:rsidRDefault="008270F4" w:rsidP="00FB52C4">
      <w:pPr>
        <w:ind w:firstLine="3544"/>
        <w:jc w:val="both"/>
        <w:rPr>
          <w:rFonts w:ascii="Arial" w:hAnsi="Arial" w:cs="Arial"/>
          <w:sz w:val="24"/>
          <w:szCs w:val="24"/>
        </w:rPr>
      </w:pPr>
      <w:r>
        <w:rPr>
          <w:rFonts w:ascii="Arial" w:hAnsi="Arial" w:cs="Arial"/>
          <w:sz w:val="24"/>
          <w:szCs w:val="24"/>
        </w:rPr>
        <w:t>Todavia, o fato do legislador prever a possibilidade da via administrativa não afasta a prestação da tutela jurisdicional, se assim optar o interessado, com fundamento no princípio da inafastabilidade da jurisdição, previsto no artigo 5°, incis</w:t>
      </w:r>
      <w:r w:rsidR="00F04FBF">
        <w:rPr>
          <w:rFonts w:ascii="Arial" w:hAnsi="Arial" w:cs="Arial"/>
          <w:sz w:val="24"/>
          <w:szCs w:val="24"/>
        </w:rPr>
        <w:t>o XXXV, da Constituição Federal: “</w:t>
      </w:r>
      <w:r w:rsidR="00F04FBF" w:rsidRPr="00F04FBF">
        <w:rPr>
          <w:rFonts w:ascii="Arial" w:hAnsi="Arial" w:cs="Arial"/>
          <w:sz w:val="24"/>
          <w:szCs w:val="24"/>
        </w:rPr>
        <w:t xml:space="preserve">a lei não excluirá da apreciação do Poder </w:t>
      </w:r>
      <w:proofErr w:type="gramStart"/>
      <w:r w:rsidR="00F04FBF" w:rsidRPr="00F04FBF">
        <w:rPr>
          <w:rFonts w:ascii="Arial" w:hAnsi="Arial" w:cs="Arial"/>
          <w:sz w:val="24"/>
          <w:szCs w:val="24"/>
        </w:rPr>
        <w:t>Judiciário lesão</w:t>
      </w:r>
      <w:proofErr w:type="gramEnd"/>
      <w:r w:rsidR="00F04FBF" w:rsidRPr="00F04FBF">
        <w:rPr>
          <w:rFonts w:ascii="Arial" w:hAnsi="Arial" w:cs="Arial"/>
          <w:sz w:val="24"/>
          <w:szCs w:val="24"/>
        </w:rPr>
        <w:t xml:space="preserve"> ou ameaça a direito</w:t>
      </w:r>
      <w:r w:rsidR="00F04FBF">
        <w:rPr>
          <w:rFonts w:ascii="Arial" w:hAnsi="Arial" w:cs="Arial"/>
          <w:sz w:val="24"/>
          <w:szCs w:val="24"/>
        </w:rPr>
        <w:t>”.</w:t>
      </w:r>
    </w:p>
    <w:p w:rsidR="00FB52C4" w:rsidRDefault="00FB52C4" w:rsidP="00FB52C4">
      <w:pPr>
        <w:jc w:val="both"/>
        <w:rPr>
          <w:rFonts w:ascii="Arial" w:hAnsi="Arial" w:cs="Arial"/>
          <w:sz w:val="24"/>
          <w:szCs w:val="24"/>
        </w:rPr>
      </w:pPr>
    </w:p>
    <w:p w:rsidR="00FB52C4" w:rsidRPr="001E70A1" w:rsidRDefault="00A17AA1" w:rsidP="00BC39EA">
      <w:pPr>
        <w:ind w:firstLine="3544"/>
        <w:jc w:val="both"/>
        <w:rPr>
          <w:rFonts w:ascii="Arial" w:hAnsi="Arial" w:cs="Arial"/>
          <w:b/>
          <w:sz w:val="24"/>
          <w:szCs w:val="24"/>
        </w:rPr>
      </w:pPr>
      <w:r w:rsidRPr="001E70A1">
        <w:rPr>
          <w:rFonts w:ascii="Arial" w:hAnsi="Arial" w:cs="Arial"/>
          <w:b/>
          <w:sz w:val="24"/>
          <w:szCs w:val="24"/>
        </w:rPr>
        <w:t xml:space="preserve">Tanto que o artigo 216-A, </w:t>
      </w:r>
      <w:r w:rsidRPr="001E70A1">
        <w:rPr>
          <w:rFonts w:ascii="Arial" w:hAnsi="Arial" w:cs="Arial"/>
          <w:b/>
          <w:sz w:val="24"/>
          <w:szCs w:val="24"/>
          <w:u w:val="single"/>
        </w:rPr>
        <w:t>caput</w:t>
      </w:r>
      <w:r w:rsidRPr="001E70A1">
        <w:rPr>
          <w:rFonts w:ascii="Arial" w:hAnsi="Arial" w:cs="Arial"/>
          <w:b/>
          <w:sz w:val="24"/>
          <w:szCs w:val="24"/>
        </w:rPr>
        <w:t xml:space="preserve">, da Lei n° 6.015/73, inicia </w:t>
      </w:r>
      <w:r w:rsidR="001E70A1">
        <w:rPr>
          <w:rFonts w:ascii="Arial" w:hAnsi="Arial" w:cs="Arial"/>
          <w:b/>
          <w:sz w:val="24"/>
          <w:szCs w:val="24"/>
        </w:rPr>
        <w:t xml:space="preserve">sua redação </w:t>
      </w:r>
      <w:r w:rsidRPr="001E70A1">
        <w:rPr>
          <w:rFonts w:ascii="Arial" w:hAnsi="Arial" w:cs="Arial"/>
          <w:b/>
          <w:sz w:val="24"/>
          <w:szCs w:val="24"/>
        </w:rPr>
        <w:t>com a expressão “</w:t>
      </w:r>
      <w:r w:rsidR="00BC39EA" w:rsidRPr="001E70A1">
        <w:rPr>
          <w:rFonts w:ascii="Arial" w:hAnsi="Arial" w:cs="Arial"/>
          <w:b/>
          <w:sz w:val="24"/>
          <w:szCs w:val="24"/>
        </w:rPr>
        <w:t>sem prejuízo da via jurisdicional</w:t>
      </w:r>
      <w:r w:rsidRPr="001E70A1">
        <w:rPr>
          <w:rFonts w:ascii="Arial" w:hAnsi="Arial" w:cs="Arial"/>
          <w:b/>
          <w:sz w:val="24"/>
          <w:szCs w:val="24"/>
        </w:rPr>
        <w:t>”.</w:t>
      </w:r>
    </w:p>
    <w:p w:rsidR="00BC39EA" w:rsidRDefault="00BC39EA" w:rsidP="00BC39EA">
      <w:pPr>
        <w:ind w:firstLine="3544"/>
        <w:jc w:val="both"/>
        <w:rPr>
          <w:rFonts w:ascii="Arial" w:hAnsi="Arial" w:cs="Arial"/>
          <w:sz w:val="24"/>
          <w:szCs w:val="24"/>
        </w:rPr>
      </w:pPr>
    </w:p>
    <w:p w:rsidR="00BC39EA" w:rsidRDefault="00BC39EA" w:rsidP="00BC39EA">
      <w:pPr>
        <w:ind w:firstLine="3544"/>
        <w:jc w:val="both"/>
        <w:rPr>
          <w:rFonts w:ascii="Arial" w:hAnsi="Arial" w:cs="Arial"/>
          <w:sz w:val="24"/>
          <w:szCs w:val="24"/>
        </w:rPr>
      </w:pPr>
      <w:r>
        <w:rPr>
          <w:rFonts w:ascii="Arial" w:hAnsi="Arial" w:cs="Arial"/>
          <w:sz w:val="24"/>
          <w:szCs w:val="24"/>
        </w:rPr>
        <w:t>Contudo, a interpretação dada pelo Centro de Estudos e Debates do Tribunal de Justiça do Rio de Janeiro (CEDES) foi em sentido diverso. Através do Aviso Conjunto TJ/CEDES</w:t>
      </w:r>
      <w:r w:rsidR="00903D5A">
        <w:rPr>
          <w:rFonts w:ascii="Arial" w:hAnsi="Arial" w:cs="Arial"/>
          <w:sz w:val="24"/>
          <w:szCs w:val="24"/>
        </w:rPr>
        <w:t xml:space="preserve"> n°</w:t>
      </w:r>
      <w:r>
        <w:rPr>
          <w:rFonts w:ascii="Arial" w:hAnsi="Arial" w:cs="Arial"/>
          <w:sz w:val="24"/>
          <w:szCs w:val="24"/>
        </w:rPr>
        <w:t xml:space="preserve"> 22/2015, foram divulgados os enunciados doutrinários</w:t>
      </w:r>
      <w:r w:rsidR="00F04FBF">
        <w:rPr>
          <w:rFonts w:ascii="Arial" w:hAnsi="Arial" w:cs="Arial"/>
          <w:sz w:val="24"/>
          <w:szCs w:val="24"/>
        </w:rPr>
        <w:t xml:space="preserve"> aprovados no Ciclo de Debates sobre o CPC de 2015, </w:t>
      </w:r>
      <w:r w:rsidR="00F04FBF">
        <w:rPr>
          <w:rFonts w:ascii="Arial" w:hAnsi="Arial" w:cs="Arial"/>
          <w:sz w:val="24"/>
          <w:szCs w:val="24"/>
        </w:rPr>
        <w:lastRenderedPageBreak/>
        <w:t>intitulado “Primeiras Impressões de Juízes Cíveis acerca do Novo Código de Processo Civil”, sendo que o enunciado n° 108 tem a seguinte redação:</w:t>
      </w:r>
    </w:p>
    <w:p w:rsidR="00FF2DFF" w:rsidRDefault="00FF2DFF" w:rsidP="00BC39EA">
      <w:pPr>
        <w:ind w:firstLine="3544"/>
        <w:jc w:val="both"/>
        <w:rPr>
          <w:rFonts w:ascii="Arial" w:hAnsi="Arial" w:cs="Arial"/>
          <w:sz w:val="24"/>
          <w:szCs w:val="24"/>
        </w:rPr>
      </w:pPr>
    </w:p>
    <w:p w:rsidR="000A7E9D" w:rsidRDefault="00F04FBF" w:rsidP="00F04FBF">
      <w:pPr>
        <w:ind w:left="708"/>
        <w:jc w:val="both"/>
        <w:rPr>
          <w:rFonts w:ascii="Arial" w:hAnsi="Arial" w:cs="Arial"/>
          <w:sz w:val="24"/>
          <w:szCs w:val="24"/>
        </w:rPr>
      </w:pPr>
      <w:r>
        <w:rPr>
          <w:rFonts w:ascii="Arial" w:hAnsi="Arial" w:cs="Arial"/>
          <w:sz w:val="24"/>
          <w:szCs w:val="24"/>
        </w:rPr>
        <w:t>“</w:t>
      </w:r>
      <w:r>
        <w:rPr>
          <w:rFonts w:ascii="Arial" w:hAnsi="Arial" w:cs="Arial"/>
          <w:sz w:val="24"/>
          <w:szCs w:val="24"/>
          <w:u w:val="single"/>
        </w:rPr>
        <w:t>Enunciado 108</w:t>
      </w:r>
      <w:r>
        <w:rPr>
          <w:rFonts w:ascii="Arial" w:hAnsi="Arial" w:cs="Arial"/>
          <w:sz w:val="24"/>
          <w:szCs w:val="24"/>
        </w:rPr>
        <w:t>: A ação de usucapião é cabível somente quando houver óbice ao pedido na esfera extrajudicial</w:t>
      </w:r>
      <w:r w:rsidR="000A7E9D">
        <w:rPr>
          <w:rFonts w:ascii="Arial" w:hAnsi="Arial" w:cs="Arial"/>
          <w:sz w:val="24"/>
          <w:szCs w:val="24"/>
        </w:rPr>
        <w:t>.</w:t>
      </w:r>
    </w:p>
    <w:p w:rsidR="00F04FBF" w:rsidRDefault="000A7E9D" w:rsidP="00F04FBF">
      <w:pPr>
        <w:ind w:left="708"/>
        <w:jc w:val="both"/>
        <w:rPr>
          <w:rFonts w:ascii="Arial" w:hAnsi="Arial" w:cs="Arial"/>
          <w:sz w:val="24"/>
          <w:szCs w:val="24"/>
        </w:rPr>
      </w:pPr>
      <w:r>
        <w:rPr>
          <w:rFonts w:ascii="Arial" w:hAnsi="Arial" w:cs="Arial"/>
          <w:sz w:val="24"/>
          <w:szCs w:val="24"/>
        </w:rPr>
        <w:t xml:space="preserve">Justificativa: </w:t>
      </w:r>
      <w:r w:rsidRPr="000A7E9D">
        <w:rPr>
          <w:rFonts w:ascii="Arial" w:hAnsi="Arial" w:cs="Arial"/>
          <w:sz w:val="24"/>
          <w:szCs w:val="24"/>
        </w:rPr>
        <w:t xml:space="preserve">A usucapião, como todo e qualquer processo, precisa preencher determinadas condições, dentre as quais o interesse processual, que é exatamente a necessidade de a parte buscar na via jurisdicional o que não poderia conseguir extrajudicialmente. </w:t>
      </w:r>
      <w:proofErr w:type="gramStart"/>
      <w:r w:rsidRPr="000A7E9D">
        <w:rPr>
          <w:rFonts w:ascii="Arial" w:hAnsi="Arial" w:cs="Arial"/>
          <w:sz w:val="24"/>
          <w:szCs w:val="24"/>
        </w:rPr>
        <w:t>Dessa forma, a usucapião que não encontre óbice ou empecilho em sede administrativa não tem acesso ao Poder Judiciário, exatamente como não tem, também, qualquer outro ato que possa ser praticado nos tabelionatos.</w:t>
      </w:r>
      <w:r w:rsidR="00F04FBF">
        <w:rPr>
          <w:rFonts w:ascii="Arial" w:hAnsi="Arial" w:cs="Arial"/>
          <w:sz w:val="24"/>
          <w:szCs w:val="24"/>
        </w:rPr>
        <w:t>”</w:t>
      </w:r>
      <w:proofErr w:type="gramEnd"/>
    </w:p>
    <w:p w:rsidR="00F04FBF" w:rsidRDefault="00F04FBF" w:rsidP="00F04FBF">
      <w:pPr>
        <w:jc w:val="both"/>
        <w:rPr>
          <w:rFonts w:ascii="Arial" w:hAnsi="Arial" w:cs="Arial"/>
          <w:sz w:val="24"/>
          <w:szCs w:val="24"/>
        </w:rPr>
      </w:pPr>
    </w:p>
    <w:p w:rsidR="00F04FBF" w:rsidRDefault="00F04FBF" w:rsidP="00F04FBF">
      <w:pPr>
        <w:ind w:firstLine="3544"/>
        <w:jc w:val="both"/>
        <w:rPr>
          <w:rFonts w:ascii="Arial" w:hAnsi="Arial" w:cs="Arial"/>
          <w:sz w:val="24"/>
          <w:szCs w:val="24"/>
        </w:rPr>
      </w:pPr>
      <w:r>
        <w:rPr>
          <w:rFonts w:ascii="Arial" w:hAnsi="Arial" w:cs="Arial"/>
          <w:sz w:val="24"/>
          <w:szCs w:val="24"/>
        </w:rPr>
        <w:t>Cabe-nos analisar se essa orientação do Tribunal de Justiça coaduna-se com a Constituição Federal e com a Lei de Registros Públicos, a partir do momento em que exige a comprovação de óbice ao pedido na esfera extrajudicial para permitir o acesso do interessado à justiça.</w:t>
      </w:r>
    </w:p>
    <w:p w:rsidR="00F04FBF" w:rsidRDefault="00F04FBF" w:rsidP="00F04FBF">
      <w:pPr>
        <w:ind w:firstLine="3544"/>
        <w:jc w:val="both"/>
        <w:rPr>
          <w:rFonts w:ascii="Arial" w:hAnsi="Arial" w:cs="Arial"/>
          <w:sz w:val="24"/>
          <w:szCs w:val="24"/>
        </w:rPr>
      </w:pPr>
    </w:p>
    <w:p w:rsidR="00F04FBF" w:rsidRDefault="00F04FBF" w:rsidP="00F04FBF">
      <w:pPr>
        <w:ind w:firstLine="3544"/>
        <w:jc w:val="both"/>
        <w:rPr>
          <w:rFonts w:ascii="Arial" w:hAnsi="Arial" w:cs="Arial"/>
          <w:sz w:val="24"/>
          <w:szCs w:val="24"/>
        </w:rPr>
      </w:pPr>
      <w:r>
        <w:rPr>
          <w:rFonts w:ascii="Arial" w:hAnsi="Arial" w:cs="Arial"/>
          <w:sz w:val="24"/>
          <w:szCs w:val="24"/>
        </w:rPr>
        <w:t>Como dito acima</w:t>
      </w:r>
      <w:r w:rsidR="00FF2DFF">
        <w:rPr>
          <w:rFonts w:ascii="Arial" w:hAnsi="Arial" w:cs="Arial"/>
          <w:sz w:val="24"/>
          <w:szCs w:val="24"/>
        </w:rPr>
        <w:t xml:space="preserve">, o princípio da inafastabilidade da jurisdição </w:t>
      </w:r>
      <w:r w:rsidR="00903D5A">
        <w:rPr>
          <w:rFonts w:ascii="Arial" w:hAnsi="Arial" w:cs="Arial"/>
          <w:sz w:val="24"/>
          <w:szCs w:val="24"/>
        </w:rPr>
        <w:t>garante</w:t>
      </w:r>
      <w:r w:rsidR="00FF2DFF">
        <w:rPr>
          <w:rFonts w:ascii="Arial" w:hAnsi="Arial" w:cs="Arial"/>
          <w:sz w:val="24"/>
          <w:szCs w:val="24"/>
        </w:rPr>
        <w:t xml:space="preserve"> o direito de ação, que é caracterizado como direito público subjetivo fundamental, instrumental, autônomo e abstrato: </w:t>
      </w:r>
    </w:p>
    <w:p w:rsidR="00FF2DFF" w:rsidRDefault="00FF2DFF" w:rsidP="00F04FBF">
      <w:pPr>
        <w:ind w:firstLine="3544"/>
        <w:jc w:val="both"/>
        <w:rPr>
          <w:rFonts w:ascii="Arial" w:hAnsi="Arial" w:cs="Arial"/>
          <w:sz w:val="24"/>
          <w:szCs w:val="24"/>
        </w:rPr>
      </w:pPr>
    </w:p>
    <w:p w:rsidR="00FF2DFF" w:rsidRPr="00FF2DFF" w:rsidRDefault="00FF2DFF" w:rsidP="00FF2DFF">
      <w:pPr>
        <w:ind w:left="708"/>
        <w:jc w:val="both"/>
        <w:rPr>
          <w:rFonts w:ascii="Arial" w:hAnsi="Arial" w:cs="Arial"/>
          <w:sz w:val="24"/>
          <w:szCs w:val="24"/>
        </w:rPr>
      </w:pPr>
      <w:r>
        <w:rPr>
          <w:rFonts w:ascii="Arial" w:hAnsi="Arial" w:cs="Arial"/>
          <w:sz w:val="24"/>
          <w:szCs w:val="24"/>
        </w:rPr>
        <w:t xml:space="preserve">“Quando a Constituição refere à impossibilidade de exclusão de lesão ou ameaça de lesão da apreciação jurisdicional quer referir-se, na verdade, à impossibilidade de exclusão de </w:t>
      </w:r>
      <w:r>
        <w:rPr>
          <w:rFonts w:ascii="Arial" w:hAnsi="Arial" w:cs="Arial"/>
          <w:i/>
          <w:sz w:val="24"/>
          <w:szCs w:val="24"/>
        </w:rPr>
        <w:t>alegação</w:t>
      </w:r>
      <w:r>
        <w:rPr>
          <w:rFonts w:ascii="Arial" w:hAnsi="Arial" w:cs="Arial"/>
          <w:sz w:val="24"/>
          <w:szCs w:val="24"/>
        </w:rPr>
        <w:t xml:space="preserve"> de lesão ou ameaça, tendo em vista que o direito de ação (provocar a atividade jurisdicional) não se vincula à efetiva procedência do quanto alegado; ele existe independentemente da circunstância de ter o autor razão naquilo que pleitear; é direito abstrato. O direito de ação é o direito à decisão judicial </w:t>
      </w:r>
      <w:r>
        <w:rPr>
          <w:rFonts w:ascii="Arial" w:hAnsi="Arial" w:cs="Arial"/>
          <w:sz w:val="24"/>
          <w:szCs w:val="24"/>
          <w:u w:val="single"/>
        </w:rPr>
        <w:t xml:space="preserve">tout </w:t>
      </w:r>
      <w:proofErr w:type="spellStart"/>
      <w:r>
        <w:rPr>
          <w:rFonts w:ascii="Arial" w:hAnsi="Arial" w:cs="Arial"/>
          <w:sz w:val="24"/>
          <w:szCs w:val="24"/>
          <w:u w:val="single"/>
        </w:rPr>
        <w:t>court</w:t>
      </w:r>
      <w:proofErr w:type="spellEnd"/>
      <w:r>
        <w:rPr>
          <w:rFonts w:ascii="Arial" w:hAnsi="Arial" w:cs="Arial"/>
          <w:sz w:val="24"/>
          <w:szCs w:val="24"/>
        </w:rPr>
        <w:t>”</w:t>
      </w:r>
      <w:r w:rsidR="005A29F3">
        <w:rPr>
          <w:rStyle w:val="Refdenotaderodap"/>
          <w:rFonts w:ascii="Arial" w:hAnsi="Arial" w:cs="Arial"/>
          <w:sz w:val="24"/>
          <w:szCs w:val="24"/>
        </w:rPr>
        <w:footnoteReference w:id="1"/>
      </w:r>
      <w:r>
        <w:rPr>
          <w:rFonts w:ascii="Arial" w:hAnsi="Arial" w:cs="Arial"/>
          <w:sz w:val="24"/>
          <w:szCs w:val="24"/>
        </w:rPr>
        <w:t xml:space="preserve">. </w:t>
      </w:r>
    </w:p>
    <w:p w:rsidR="00F04FBF" w:rsidRDefault="00F04FBF" w:rsidP="00F04FBF">
      <w:pPr>
        <w:jc w:val="both"/>
        <w:rPr>
          <w:rFonts w:ascii="Arial" w:hAnsi="Arial" w:cs="Arial"/>
          <w:sz w:val="24"/>
          <w:szCs w:val="24"/>
        </w:rPr>
      </w:pPr>
    </w:p>
    <w:p w:rsidR="00B951B0" w:rsidRDefault="00B951B0" w:rsidP="00F04FBF">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Contudo, como bem ressalta o eminente processualista baiano </w:t>
      </w:r>
      <w:proofErr w:type="spellStart"/>
      <w:r>
        <w:rPr>
          <w:rFonts w:ascii="Arial" w:hAnsi="Arial" w:cs="Arial"/>
          <w:sz w:val="24"/>
          <w:szCs w:val="24"/>
        </w:rPr>
        <w:t>Fredie</w:t>
      </w:r>
      <w:proofErr w:type="spellEnd"/>
      <w:r>
        <w:rPr>
          <w:rFonts w:ascii="Arial" w:hAnsi="Arial" w:cs="Arial"/>
          <w:sz w:val="24"/>
          <w:szCs w:val="24"/>
        </w:rPr>
        <w:t xml:space="preserve"> Didier Jr., “questão controvertida diz respeito à possibilidade de o legislador condicionar a provocação jurisdicional ao esgotamento prévio da discussão no âmbito administrativo”. Ao indagar se “é constitucional criar uma restrição como essa ao exercício do direito de ação?”, prossegue o processualista afirmando que “a resposta não é simples”, concluindo que “a lei pode restringir, em certos casos, o acesso ao Judiciário; se, porém, revelar-se abusiva, de acordo com circunstâncias particulares do caso concreto, esta restrição pode ser afastada pelo órgão julgador</w:t>
      </w:r>
      <w:proofErr w:type="gramStart"/>
      <w:r>
        <w:rPr>
          <w:rFonts w:ascii="Arial" w:hAnsi="Arial" w:cs="Arial"/>
          <w:sz w:val="24"/>
          <w:szCs w:val="24"/>
        </w:rPr>
        <w:t>”</w:t>
      </w:r>
      <w:proofErr w:type="gramEnd"/>
      <w:r w:rsidR="005A29F3">
        <w:rPr>
          <w:rStyle w:val="Refdenotaderodap"/>
          <w:rFonts w:ascii="Arial" w:hAnsi="Arial" w:cs="Arial"/>
          <w:sz w:val="24"/>
          <w:szCs w:val="24"/>
        </w:rPr>
        <w:footnoteReference w:id="2"/>
      </w:r>
      <w:r w:rsidR="005A29F3">
        <w:rPr>
          <w:rFonts w:ascii="Arial" w:hAnsi="Arial" w:cs="Arial"/>
          <w:sz w:val="24"/>
          <w:szCs w:val="24"/>
        </w:rPr>
        <w:t>.</w:t>
      </w:r>
    </w:p>
    <w:p w:rsidR="00B951B0" w:rsidRDefault="00B951B0" w:rsidP="00F04FBF">
      <w:pPr>
        <w:jc w:val="both"/>
        <w:rPr>
          <w:rFonts w:ascii="Arial" w:hAnsi="Arial" w:cs="Arial"/>
          <w:sz w:val="24"/>
          <w:szCs w:val="24"/>
        </w:rPr>
      </w:pPr>
    </w:p>
    <w:p w:rsidR="00B951B0" w:rsidRDefault="00986BBE" w:rsidP="00986BBE">
      <w:pPr>
        <w:ind w:firstLine="3544"/>
        <w:jc w:val="both"/>
        <w:rPr>
          <w:rFonts w:ascii="Arial" w:hAnsi="Arial" w:cs="Arial"/>
          <w:sz w:val="24"/>
          <w:szCs w:val="24"/>
        </w:rPr>
      </w:pPr>
      <w:r>
        <w:rPr>
          <w:rFonts w:ascii="Arial" w:hAnsi="Arial" w:cs="Arial"/>
          <w:sz w:val="24"/>
          <w:szCs w:val="24"/>
        </w:rPr>
        <w:t xml:space="preserve">Trazendo esses ensinamentos à hipótese ora em discussão, a primeira conclusão que se tira é a de que </w:t>
      </w:r>
      <w:r w:rsidRPr="00D27E63">
        <w:rPr>
          <w:rFonts w:ascii="Arial" w:hAnsi="Arial" w:cs="Arial"/>
          <w:b/>
          <w:sz w:val="24"/>
          <w:szCs w:val="24"/>
        </w:rPr>
        <w:t>a própria lei não excluiu o acesso ao Judiciário</w:t>
      </w:r>
      <w:r>
        <w:rPr>
          <w:rFonts w:ascii="Arial" w:hAnsi="Arial" w:cs="Arial"/>
          <w:sz w:val="24"/>
          <w:szCs w:val="24"/>
        </w:rPr>
        <w:t xml:space="preserve"> do interessado na declaração da aquisição da propriedade pela usucapião, tanto que o artigo 216-A, da LRP, inicia garantindo </w:t>
      </w:r>
      <w:r w:rsidR="00D27E63">
        <w:rPr>
          <w:rFonts w:ascii="Arial" w:hAnsi="Arial" w:cs="Arial"/>
          <w:sz w:val="24"/>
          <w:szCs w:val="24"/>
        </w:rPr>
        <w:t>esse</w:t>
      </w:r>
      <w:r>
        <w:rPr>
          <w:rFonts w:ascii="Arial" w:hAnsi="Arial" w:cs="Arial"/>
          <w:sz w:val="24"/>
          <w:szCs w:val="24"/>
        </w:rPr>
        <w:t xml:space="preserve"> acesso: “SEM PREJUÍZO DA VIA JURISDICIONAL, é admitido o pedido de reconhecimento extrajudicial de usucapião,...”.</w:t>
      </w:r>
      <w:r w:rsidR="00D27E63">
        <w:rPr>
          <w:rFonts w:ascii="Arial" w:hAnsi="Arial" w:cs="Arial"/>
          <w:sz w:val="24"/>
          <w:szCs w:val="24"/>
        </w:rPr>
        <w:t xml:space="preserve"> E a palavra “admitido” foi usada no sentido d</w:t>
      </w:r>
      <w:r w:rsidR="008B585D">
        <w:rPr>
          <w:rFonts w:ascii="Arial" w:hAnsi="Arial" w:cs="Arial"/>
          <w:sz w:val="24"/>
          <w:szCs w:val="24"/>
        </w:rPr>
        <w:t>e</w:t>
      </w:r>
      <w:r w:rsidR="00D27E63">
        <w:rPr>
          <w:rFonts w:ascii="Arial" w:hAnsi="Arial" w:cs="Arial"/>
          <w:sz w:val="24"/>
          <w:szCs w:val="24"/>
        </w:rPr>
        <w:t xml:space="preserve"> opção, permissão, possibilidade,</w:t>
      </w:r>
      <w:r w:rsidR="008B585D">
        <w:rPr>
          <w:rFonts w:ascii="Arial" w:hAnsi="Arial" w:cs="Arial"/>
          <w:sz w:val="24"/>
          <w:szCs w:val="24"/>
        </w:rPr>
        <w:t xml:space="preserve"> e não de</w:t>
      </w:r>
      <w:r w:rsidR="00D27E63">
        <w:rPr>
          <w:rFonts w:ascii="Arial" w:hAnsi="Arial" w:cs="Arial"/>
          <w:sz w:val="24"/>
          <w:szCs w:val="24"/>
        </w:rPr>
        <w:t xml:space="preserve"> obrigação, imposição.</w:t>
      </w:r>
    </w:p>
    <w:p w:rsidR="00C940E8" w:rsidRDefault="00C940E8" w:rsidP="00986BBE">
      <w:pPr>
        <w:ind w:firstLine="3544"/>
        <w:jc w:val="both"/>
        <w:rPr>
          <w:rFonts w:ascii="Arial" w:hAnsi="Arial" w:cs="Arial"/>
          <w:sz w:val="24"/>
          <w:szCs w:val="24"/>
        </w:rPr>
      </w:pPr>
    </w:p>
    <w:p w:rsidR="00C940E8" w:rsidRDefault="00C940E8" w:rsidP="00986BBE">
      <w:pPr>
        <w:ind w:firstLine="3544"/>
        <w:jc w:val="both"/>
        <w:rPr>
          <w:rFonts w:ascii="Arial" w:hAnsi="Arial" w:cs="Arial"/>
          <w:sz w:val="24"/>
          <w:szCs w:val="24"/>
        </w:rPr>
      </w:pPr>
      <w:r>
        <w:rPr>
          <w:rFonts w:ascii="Arial" w:hAnsi="Arial" w:cs="Arial"/>
          <w:sz w:val="24"/>
          <w:szCs w:val="24"/>
        </w:rPr>
        <w:t xml:space="preserve">Portanto, se a lei em sentido estrito (norma jurídica de caráter coercitivo e vinculante), em princípio, não poderia excluir e, de fato, não excluiu da apreciação do Poder Judiciário a declaração </w:t>
      </w:r>
      <w:r w:rsidR="00477EDE">
        <w:rPr>
          <w:rFonts w:ascii="Arial" w:hAnsi="Arial" w:cs="Arial"/>
          <w:sz w:val="24"/>
          <w:szCs w:val="24"/>
        </w:rPr>
        <w:t xml:space="preserve">judicial </w:t>
      </w:r>
      <w:r>
        <w:rPr>
          <w:rFonts w:ascii="Arial" w:hAnsi="Arial" w:cs="Arial"/>
          <w:sz w:val="24"/>
          <w:szCs w:val="24"/>
        </w:rPr>
        <w:t>da usucapião,</w:t>
      </w:r>
      <w:r w:rsidR="005A29F3">
        <w:rPr>
          <w:rFonts w:ascii="Arial" w:hAnsi="Arial" w:cs="Arial"/>
          <w:sz w:val="24"/>
          <w:szCs w:val="24"/>
        </w:rPr>
        <w:t xml:space="preserve"> o</w:t>
      </w:r>
      <w:r>
        <w:rPr>
          <w:rFonts w:ascii="Arial" w:hAnsi="Arial" w:cs="Arial"/>
          <w:sz w:val="24"/>
          <w:szCs w:val="24"/>
        </w:rPr>
        <w:t xml:space="preserve"> enunciado do Tribunal de Justiça (norma administrativa de caráter </w:t>
      </w:r>
      <w:r w:rsidR="00477EDE">
        <w:rPr>
          <w:rFonts w:ascii="Arial" w:hAnsi="Arial" w:cs="Arial"/>
          <w:sz w:val="24"/>
          <w:szCs w:val="24"/>
        </w:rPr>
        <w:t xml:space="preserve">não coercitivo </w:t>
      </w:r>
      <w:r>
        <w:rPr>
          <w:rFonts w:ascii="Arial" w:hAnsi="Arial" w:cs="Arial"/>
          <w:sz w:val="24"/>
          <w:szCs w:val="24"/>
        </w:rPr>
        <w:t>e exortativo</w:t>
      </w:r>
      <w:r w:rsidR="004A1C84">
        <w:rPr>
          <w:rFonts w:ascii="Arial" w:hAnsi="Arial" w:cs="Arial"/>
          <w:sz w:val="24"/>
          <w:szCs w:val="24"/>
        </w:rPr>
        <w:t>, não vinculante</w:t>
      </w:r>
      <w:r>
        <w:rPr>
          <w:rFonts w:ascii="Arial" w:hAnsi="Arial" w:cs="Arial"/>
          <w:sz w:val="24"/>
          <w:szCs w:val="24"/>
        </w:rPr>
        <w:t xml:space="preserve">) </w:t>
      </w:r>
      <w:r w:rsidR="005A29F3">
        <w:rPr>
          <w:rFonts w:ascii="Arial" w:hAnsi="Arial" w:cs="Arial"/>
          <w:sz w:val="24"/>
          <w:szCs w:val="24"/>
        </w:rPr>
        <w:t xml:space="preserve">não poderia limitar </w:t>
      </w:r>
      <w:r w:rsidR="008B54D0">
        <w:rPr>
          <w:rFonts w:ascii="Arial" w:hAnsi="Arial" w:cs="Arial"/>
          <w:sz w:val="24"/>
          <w:szCs w:val="24"/>
        </w:rPr>
        <w:t>esse</w:t>
      </w:r>
      <w:r w:rsidR="005A29F3">
        <w:rPr>
          <w:rFonts w:ascii="Arial" w:hAnsi="Arial" w:cs="Arial"/>
          <w:sz w:val="24"/>
          <w:szCs w:val="24"/>
        </w:rPr>
        <w:t xml:space="preserve"> acesso</w:t>
      </w:r>
      <w:r w:rsidR="008B54D0">
        <w:rPr>
          <w:rFonts w:ascii="Arial" w:hAnsi="Arial" w:cs="Arial"/>
          <w:sz w:val="24"/>
          <w:szCs w:val="24"/>
        </w:rPr>
        <w:t xml:space="preserve"> à</w:t>
      </w:r>
      <w:r w:rsidR="005A29F3">
        <w:rPr>
          <w:rFonts w:ascii="Arial" w:hAnsi="Arial" w:cs="Arial"/>
          <w:sz w:val="24"/>
          <w:szCs w:val="24"/>
        </w:rPr>
        <w:t xml:space="preserve"> demonstração de óbice à usucapião administrativa.</w:t>
      </w:r>
    </w:p>
    <w:p w:rsidR="005A29F3" w:rsidRDefault="005A29F3" w:rsidP="00986BBE">
      <w:pPr>
        <w:ind w:firstLine="3544"/>
        <w:jc w:val="both"/>
        <w:rPr>
          <w:rFonts w:ascii="Arial" w:hAnsi="Arial" w:cs="Arial"/>
          <w:sz w:val="24"/>
          <w:szCs w:val="24"/>
        </w:rPr>
      </w:pPr>
    </w:p>
    <w:p w:rsidR="005A29F3" w:rsidRDefault="005A29F3" w:rsidP="00986BBE">
      <w:pPr>
        <w:ind w:firstLine="3544"/>
        <w:jc w:val="both"/>
        <w:rPr>
          <w:rFonts w:ascii="Arial" w:hAnsi="Arial" w:cs="Arial"/>
          <w:sz w:val="24"/>
          <w:szCs w:val="24"/>
        </w:rPr>
      </w:pPr>
      <w:r>
        <w:rPr>
          <w:rFonts w:ascii="Arial" w:hAnsi="Arial" w:cs="Arial"/>
          <w:sz w:val="24"/>
          <w:szCs w:val="24"/>
        </w:rPr>
        <w:t xml:space="preserve">Em artigo intitulado “O novo CPC: Implicações na atividade notarial e registral I”, o magistrado do Tribunal de Justiça de São Paulo e doutor em Direito, Vitor Frederico </w:t>
      </w:r>
      <w:proofErr w:type="spellStart"/>
      <w:r>
        <w:rPr>
          <w:rFonts w:ascii="Arial" w:hAnsi="Arial" w:cs="Arial"/>
          <w:sz w:val="24"/>
          <w:szCs w:val="24"/>
        </w:rPr>
        <w:t>Kümpel</w:t>
      </w:r>
      <w:proofErr w:type="spellEnd"/>
      <w:r>
        <w:rPr>
          <w:rFonts w:ascii="Arial" w:hAnsi="Arial" w:cs="Arial"/>
          <w:sz w:val="24"/>
          <w:szCs w:val="24"/>
        </w:rPr>
        <w:t>, afirma que:</w:t>
      </w:r>
    </w:p>
    <w:p w:rsidR="005A29F3" w:rsidRDefault="005A29F3" w:rsidP="00986BBE">
      <w:pPr>
        <w:ind w:firstLine="3544"/>
        <w:jc w:val="both"/>
        <w:rPr>
          <w:rFonts w:ascii="Arial" w:hAnsi="Arial" w:cs="Arial"/>
          <w:sz w:val="24"/>
          <w:szCs w:val="24"/>
        </w:rPr>
      </w:pPr>
    </w:p>
    <w:p w:rsidR="005A29F3" w:rsidRDefault="005A29F3" w:rsidP="00BE4E40">
      <w:pPr>
        <w:ind w:left="708"/>
        <w:jc w:val="both"/>
        <w:rPr>
          <w:rFonts w:ascii="Arial" w:hAnsi="Arial" w:cs="Arial"/>
          <w:sz w:val="24"/>
          <w:szCs w:val="24"/>
        </w:rPr>
      </w:pPr>
      <w:r>
        <w:rPr>
          <w:rFonts w:ascii="Arial" w:hAnsi="Arial" w:cs="Arial"/>
          <w:sz w:val="24"/>
          <w:szCs w:val="24"/>
        </w:rPr>
        <w:t>“</w:t>
      </w:r>
      <w:r w:rsidRPr="00846E54">
        <w:rPr>
          <w:rFonts w:ascii="Arial" w:hAnsi="Arial" w:cs="Arial"/>
          <w:b/>
          <w:sz w:val="24"/>
          <w:szCs w:val="24"/>
        </w:rPr>
        <w:t>A via judicial para o reconhecimento da aquisição originária de propriedade por meio da usucapião ainda é possível (artigo 216-A, § 9°, da Lei de Registros Públicos), inclusive em cumprimento da garantia constitucional da inafastabilidade da tutela jurisdicional (art. 5°, XXXV, CF)</w:t>
      </w:r>
      <w:r>
        <w:rPr>
          <w:rFonts w:ascii="Arial" w:hAnsi="Arial" w:cs="Arial"/>
          <w:sz w:val="24"/>
          <w:szCs w:val="24"/>
        </w:rPr>
        <w:t>. No entanto, o procedimento especial da ação de usucapião (</w:t>
      </w:r>
      <w:proofErr w:type="spellStart"/>
      <w:r>
        <w:rPr>
          <w:rFonts w:ascii="Arial" w:hAnsi="Arial" w:cs="Arial"/>
          <w:sz w:val="24"/>
          <w:szCs w:val="24"/>
        </w:rPr>
        <w:t>arts</w:t>
      </w:r>
      <w:proofErr w:type="spellEnd"/>
      <w:r>
        <w:rPr>
          <w:rFonts w:ascii="Arial" w:hAnsi="Arial" w:cs="Arial"/>
          <w:sz w:val="24"/>
          <w:szCs w:val="24"/>
        </w:rPr>
        <w:t>. 941 e ss., do CPC de 1973) não foi mantido na nova legislação processual, de modo que a ação declaratória de usucapião deverá tramita pelo rito comum”</w:t>
      </w:r>
      <w:r w:rsidR="00BE4E40">
        <w:rPr>
          <w:rStyle w:val="Refdenotaderodap"/>
          <w:rFonts w:ascii="Arial" w:hAnsi="Arial" w:cs="Arial"/>
          <w:sz w:val="24"/>
          <w:szCs w:val="24"/>
        </w:rPr>
        <w:footnoteReference w:id="3"/>
      </w:r>
      <w:r>
        <w:rPr>
          <w:rFonts w:ascii="Arial" w:hAnsi="Arial" w:cs="Arial"/>
          <w:sz w:val="24"/>
          <w:szCs w:val="24"/>
        </w:rPr>
        <w:t xml:space="preserve">. </w:t>
      </w:r>
    </w:p>
    <w:p w:rsidR="00B951B0" w:rsidRDefault="00B951B0" w:rsidP="00F04FBF">
      <w:pPr>
        <w:jc w:val="both"/>
        <w:rPr>
          <w:rFonts w:ascii="Arial" w:hAnsi="Arial" w:cs="Arial"/>
          <w:sz w:val="24"/>
          <w:szCs w:val="24"/>
        </w:rPr>
      </w:pPr>
    </w:p>
    <w:p w:rsidR="00F04FBF" w:rsidRDefault="00B951B0" w:rsidP="00994147">
      <w:pPr>
        <w:ind w:firstLine="3544"/>
        <w:jc w:val="both"/>
        <w:rPr>
          <w:rFonts w:ascii="Arial" w:hAnsi="Arial" w:cs="Arial"/>
          <w:sz w:val="24"/>
          <w:szCs w:val="24"/>
        </w:rPr>
      </w:pPr>
      <w:r>
        <w:rPr>
          <w:rFonts w:ascii="Arial" w:hAnsi="Arial" w:cs="Arial"/>
          <w:sz w:val="24"/>
          <w:szCs w:val="24"/>
        </w:rPr>
        <w:t xml:space="preserve"> </w:t>
      </w:r>
      <w:r w:rsidR="00994147">
        <w:rPr>
          <w:rFonts w:ascii="Arial" w:hAnsi="Arial" w:cs="Arial"/>
          <w:sz w:val="24"/>
          <w:szCs w:val="24"/>
        </w:rPr>
        <w:t>Outro não é o posicionamento de Rafael Alvim</w:t>
      </w:r>
      <w:r w:rsidR="004A6CDB">
        <w:rPr>
          <w:rFonts w:ascii="Arial" w:hAnsi="Arial" w:cs="Arial"/>
          <w:sz w:val="24"/>
          <w:szCs w:val="24"/>
        </w:rPr>
        <w:t>, ao escrever para o Instituto de Direito Contemporâneo</w:t>
      </w:r>
      <w:r w:rsidR="00994147">
        <w:rPr>
          <w:rFonts w:ascii="Arial" w:hAnsi="Arial" w:cs="Arial"/>
          <w:sz w:val="24"/>
          <w:szCs w:val="24"/>
        </w:rPr>
        <w:t>:</w:t>
      </w:r>
    </w:p>
    <w:p w:rsidR="00994147" w:rsidRDefault="00994147" w:rsidP="00994147">
      <w:pPr>
        <w:ind w:firstLine="3544"/>
        <w:jc w:val="both"/>
        <w:rPr>
          <w:rFonts w:ascii="Arial" w:hAnsi="Arial" w:cs="Arial"/>
          <w:sz w:val="24"/>
          <w:szCs w:val="24"/>
        </w:rPr>
      </w:pPr>
    </w:p>
    <w:p w:rsidR="00994147" w:rsidRDefault="00994147" w:rsidP="00846E54">
      <w:pPr>
        <w:ind w:left="708"/>
        <w:jc w:val="both"/>
        <w:rPr>
          <w:rFonts w:ascii="Arial" w:hAnsi="Arial" w:cs="Arial"/>
          <w:sz w:val="24"/>
          <w:szCs w:val="24"/>
        </w:rPr>
      </w:pPr>
      <w:r>
        <w:rPr>
          <w:rFonts w:ascii="Arial" w:hAnsi="Arial" w:cs="Arial"/>
          <w:sz w:val="24"/>
          <w:szCs w:val="24"/>
        </w:rPr>
        <w:t>“O próprio dispositivo citado, por exemplo, garante o recurso à via judicial (</w:t>
      </w:r>
      <w:proofErr w:type="gramStart"/>
      <w:r>
        <w:rPr>
          <w:rFonts w:ascii="Arial" w:hAnsi="Arial" w:cs="Arial"/>
          <w:sz w:val="24"/>
          <w:szCs w:val="24"/>
        </w:rPr>
        <w:t>“sem</w:t>
      </w:r>
      <w:proofErr w:type="gramEnd"/>
      <w:r>
        <w:rPr>
          <w:rFonts w:ascii="Arial" w:hAnsi="Arial" w:cs="Arial"/>
          <w:sz w:val="24"/>
          <w:szCs w:val="24"/>
        </w:rPr>
        <w:t xml:space="preserve"> prejuízo da via jurisdicional”) e também o procedimento de dúvida (§ 7° Em qualquer caso, é lícito ao interessado suscitar o procedimento de dúvida, nos termos desta Lei”), </w:t>
      </w:r>
      <w:r w:rsidRPr="00846E54">
        <w:rPr>
          <w:rFonts w:ascii="Arial" w:hAnsi="Arial" w:cs="Arial"/>
          <w:b/>
          <w:sz w:val="24"/>
          <w:szCs w:val="24"/>
        </w:rPr>
        <w:t>indicando que o caminho extrajudicial é claramente uma alternativa ao interessado</w:t>
      </w:r>
      <w:r>
        <w:rPr>
          <w:rFonts w:ascii="Arial" w:hAnsi="Arial" w:cs="Arial"/>
          <w:sz w:val="24"/>
          <w:szCs w:val="24"/>
        </w:rPr>
        <w:t xml:space="preserve">. </w:t>
      </w:r>
      <w:r w:rsidR="00846E54">
        <w:rPr>
          <w:rFonts w:ascii="Arial" w:hAnsi="Arial" w:cs="Arial"/>
          <w:sz w:val="24"/>
          <w:szCs w:val="24"/>
        </w:rPr>
        <w:t xml:space="preserve">Além disso, também há regra expressa no sentido de que a rejeição do pedido extrajudicial não impede o ajuizamento de ação de usucapião (§ 9°).” </w:t>
      </w:r>
      <w:r w:rsidR="008D1CAE">
        <w:rPr>
          <w:rStyle w:val="Refdenotaderodap"/>
          <w:rFonts w:ascii="Arial" w:hAnsi="Arial" w:cs="Arial"/>
          <w:sz w:val="24"/>
          <w:szCs w:val="24"/>
        </w:rPr>
        <w:footnoteReference w:id="4"/>
      </w:r>
    </w:p>
    <w:p w:rsidR="00F04FBF" w:rsidRDefault="00F04FBF" w:rsidP="00F04FBF">
      <w:pPr>
        <w:jc w:val="both"/>
        <w:rPr>
          <w:rFonts w:ascii="Arial" w:hAnsi="Arial" w:cs="Arial"/>
          <w:sz w:val="24"/>
          <w:szCs w:val="24"/>
        </w:rPr>
      </w:pPr>
    </w:p>
    <w:p w:rsidR="00F04FBF" w:rsidRDefault="004A6CDB" w:rsidP="004A6CDB">
      <w:pPr>
        <w:ind w:firstLine="3544"/>
        <w:jc w:val="both"/>
        <w:rPr>
          <w:rFonts w:ascii="Arial" w:hAnsi="Arial" w:cs="Arial"/>
          <w:sz w:val="24"/>
          <w:szCs w:val="24"/>
        </w:rPr>
      </w:pPr>
      <w:r>
        <w:rPr>
          <w:rFonts w:ascii="Arial" w:hAnsi="Arial" w:cs="Arial"/>
          <w:sz w:val="24"/>
          <w:szCs w:val="24"/>
        </w:rPr>
        <w:t xml:space="preserve">Em artigo divulgado pelo </w:t>
      </w:r>
      <w:proofErr w:type="spellStart"/>
      <w:r>
        <w:rPr>
          <w:rFonts w:ascii="Arial" w:hAnsi="Arial" w:cs="Arial"/>
          <w:sz w:val="24"/>
          <w:szCs w:val="24"/>
        </w:rPr>
        <w:t>Conjur</w:t>
      </w:r>
      <w:proofErr w:type="spellEnd"/>
      <w:r>
        <w:rPr>
          <w:rFonts w:ascii="Arial" w:hAnsi="Arial" w:cs="Arial"/>
          <w:sz w:val="24"/>
          <w:szCs w:val="24"/>
        </w:rPr>
        <w:t>, Roberto Paulino de Albuquerque Júnior comunga desse posicionamento:</w:t>
      </w:r>
    </w:p>
    <w:p w:rsidR="008D1CAE" w:rsidRDefault="008D1CAE" w:rsidP="00F04FBF">
      <w:pPr>
        <w:jc w:val="both"/>
        <w:rPr>
          <w:rFonts w:ascii="Arial" w:hAnsi="Arial" w:cs="Arial"/>
          <w:sz w:val="24"/>
          <w:szCs w:val="24"/>
        </w:rPr>
      </w:pPr>
    </w:p>
    <w:p w:rsidR="008D1CAE" w:rsidRDefault="008D1CAE" w:rsidP="004A6CDB">
      <w:pPr>
        <w:ind w:left="708"/>
        <w:jc w:val="both"/>
        <w:rPr>
          <w:rFonts w:ascii="Arial" w:hAnsi="Arial" w:cs="Arial"/>
          <w:sz w:val="24"/>
          <w:szCs w:val="24"/>
        </w:rPr>
      </w:pPr>
      <w:r>
        <w:rPr>
          <w:rFonts w:ascii="Arial" w:hAnsi="Arial" w:cs="Arial"/>
          <w:sz w:val="24"/>
          <w:szCs w:val="24"/>
        </w:rPr>
        <w:t>“</w:t>
      </w:r>
      <w:r w:rsidRPr="008D1CAE">
        <w:rPr>
          <w:rFonts w:ascii="Arial" w:hAnsi="Arial" w:cs="Arial"/>
          <w:sz w:val="24"/>
          <w:szCs w:val="24"/>
        </w:rPr>
        <w:t xml:space="preserve">O usucapião extrajudicial será requerido pelo interessado ao registrador de imóveis da situação do bem. A ele compete conduzir o procedimento administrativo que levará ao registro </w:t>
      </w:r>
      <w:proofErr w:type="gramStart"/>
      <w:r w:rsidRPr="008D1CAE">
        <w:rPr>
          <w:rFonts w:ascii="Arial" w:hAnsi="Arial" w:cs="Arial"/>
          <w:sz w:val="24"/>
          <w:szCs w:val="24"/>
        </w:rPr>
        <w:t>do usucapião</w:t>
      </w:r>
      <w:proofErr w:type="gramEnd"/>
      <w:r w:rsidRPr="008D1CAE">
        <w:rPr>
          <w:rFonts w:ascii="Arial" w:hAnsi="Arial" w:cs="Arial"/>
          <w:sz w:val="24"/>
          <w:szCs w:val="24"/>
        </w:rPr>
        <w:t xml:space="preserve">, se forem provados os seus requisitos legais e não houver litígio. </w:t>
      </w:r>
      <w:r w:rsidRPr="008D1CAE">
        <w:rPr>
          <w:rFonts w:ascii="Arial" w:hAnsi="Arial" w:cs="Arial"/>
          <w:b/>
          <w:sz w:val="24"/>
          <w:szCs w:val="24"/>
        </w:rPr>
        <w:t>A escolha pela via extrajudicial cabe à parte, que poderá optar por deduzir o seu pedido em juízo se assim preferir, ainda que não haja litígio</w:t>
      </w:r>
      <w:r w:rsidRPr="008D1CAE">
        <w:rPr>
          <w:rFonts w:ascii="Arial" w:hAnsi="Arial" w:cs="Arial"/>
          <w:sz w:val="24"/>
          <w:szCs w:val="24"/>
        </w:rPr>
        <w:t>.</w:t>
      </w:r>
      <w:r>
        <w:rPr>
          <w:rFonts w:ascii="Arial" w:hAnsi="Arial" w:cs="Arial"/>
          <w:sz w:val="24"/>
          <w:szCs w:val="24"/>
        </w:rPr>
        <w:t xml:space="preserve">” </w:t>
      </w:r>
      <w:r>
        <w:rPr>
          <w:rStyle w:val="Refdenotaderodap"/>
          <w:rFonts w:ascii="Arial" w:hAnsi="Arial" w:cs="Arial"/>
          <w:sz w:val="24"/>
          <w:szCs w:val="24"/>
        </w:rPr>
        <w:footnoteReference w:id="5"/>
      </w:r>
    </w:p>
    <w:p w:rsidR="00045804" w:rsidRDefault="00045804" w:rsidP="00045804">
      <w:pPr>
        <w:jc w:val="both"/>
        <w:rPr>
          <w:rFonts w:ascii="Arial" w:hAnsi="Arial" w:cs="Arial"/>
          <w:sz w:val="24"/>
          <w:szCs w:val="24"/>
        </w:rPr>
      </w:pPr>
    </w:p>
    <w:p w:rsidR="00A05BD0" w:rsidRDefault="00A05BD0" w:rsidP="00045804">
      <w:pPr>
        <w:ind w:firstLine="3544"/>
        <w:jc w:val="both"/>
        <w:rPr>
          <w:rFonts w:ascii="Arial" w:hAnsi="Arial" w:cs="Arial"/>
          <w:sz w:val="24"/>
          <w:szCs w:val="24"/>
        </w:rPr>
      </w:pPr>
      <w:r>
        <w:rPr>
          <w:rFonts w:ascii="Arial" w:hAnsi="Arial" w:cs="Arial"/>
          <w:sz w:val="24"/>
          <w:szCs w:val="24"/>
        </w:rPr>
        <w:t xml:space="preserve">Importante </w:t>
      </w:r>
      <w:r w:rsidR="002D55C8">
        <w:rPr>
          <w:rFonts w:ascii="Arial" w:hAnsi="Arial" w:cs="Arial"/>
          <w:sz w:val="24"/>
          <w:szCs w:val="24"/>
        </w:rPr>
        <w:t>lembr</w:t>
      </w:r>
      <w:r>
        <w:rPr>
          <w:rFonts w:ascii="Arial" w:hAnsi="Arial" w:cs="Arial"/>
          <w:sz w:val="24"/>
          <w:szCs w:val="24"/>
        </w:rPr>
        <w:t>ar que, após o advento da Lei n° 11.441/07, que previu a separação, divórcio, inventário e partilha extrajudiciais, o Conselho Nacional de Justiça editou a Resolução n° 35/2007, cujo artigo 2° prevê:</w:t>
      </w:r>
    </w:p>
    <w:p w:rsidR="00A05BD0" w:rsidRDefault="00A05BD0" w:rsidP="00045804">
      <w:pPr>
        <w:ind w:firstLine="3544"/>
        <w:jc w:val="both"/>
        <w:rPr>
          <w:rFonts w:ascii="Arial" w:hAnsi="Arial" w:cs="Arial"/>
          <w:sz w:val="24"/>
          <w:szCs w:val="24"/>
        </w:rPr>
      </w:pPr>
    </w:p>
    <w:p w:rsidR="00A05BD0" w:rsidRDefault="00A05BD0" w:rsidP="00A05BD0">
      <w:pPr>
        <w:ind w:left="708"/>
        <w:jc w:val="both"/>
        <w:rPr>
          <w:rFonts w:ascii="Arial" w:hAnsi="Arial" w:cs="Arial"/>
          <w:sz w:val="24"/>
          <w:szCs w:val="24"/>
        </w:rPr>
      </w:pPr>
      <w:r>
        <w:rPr>
          <w:rFonts w:ascii="Arial" w:hAnsi="Arial" w:cs="Arial"/>
          <w:sz w:val="24"/>
          <w:szCs w:val="24"/>
        </w:rPr>
        <w:lastRenderedPageBreak/>
        <w:t>“</w:t>
      </w:r>
      <w:r w:rsidRPr="00A05BD0">
        <w:rPr>
          <w:rFonts w:ascii="Arial" w:hAnsi="Arial" w:cs="Arial"/>
          <w:sz w:val="24"/>
          <w:szCs w:val="24"/>
        </w:rPr>
        <w:t>Art. 2</w:t>
      </w:r>
      <w:r>
        <w:rPr>
          <w:rFonts w:ascii="Arial" w:hAnsi="Arial" w:cs="Arial"/>
          <w:sz w:val="24"/>
          <w:szCs w:val="24"/>
        </w:rPr>
        <w:t xml:space="preserve">°. </w:t>
      </w:r>
      <w:r w:rsidRPr="00A05BD0">
        <w:rPr>
          <w:rFonts w:ascii="Arial" w:hAnsi="Arial" w:cs="Arial"/>
          <w:b/>
          <w:sz w:val="24"/>
          <w:szCs w:val="24"/>
        </w:rPr>
        <w:t>É facultada aos interessados a opção pela via judicial ou extrajudicial</w:t>
      </w:r>
      <w:r w:rsidRPr="00A05BD0">
        <w:rPr>
          <w:rFonts w:ascii="Arial" w:hAnsi="Arial" w:cs="Arial"/>
          <w:sz w:val="24"/>
          <w:szCs w:val="24"/>
        </w:rPr>
        <w:t>; podendo ser solicitada, a qualquer momento, a suspensão, pelo</w:t>
      </w:r>
      <w:r>
        <w:rPr>
          <w:rFonts w:ascii="Arial" w:hAnsi="Arial" w:cs="Arial"/>
          <w:sz w:val="24"/>
          <w:szCs w:val="24"/>
        </w:rPr>
        <w:t xml:space="preserve"> </w:t>
      </w:r>
      <w:r w:rsidRPr="00A05BD0">
        <w:rPr>
          <w:rFonts w:ascii="Arial" w:hAnsi="Arial" w:cs="Arial"/>
          <w:sz w:val="24"/>
          <w:szCs w:val="24"/>
        </w:rPr>
        <w:t>prazo de 30 dias, ou a desistência da via judicial, para promoção da via</w:t>
      </w:r>
      <w:r>
        <w:rPr>
          <w:rFonts w:ascii="Arial" w:hAnsi="Arial" w:cs="Arial"/>
          <w:sz w:val="24"/>
          <w:szCs w:val="24"/>
        </w:rPr>
        <w:t xml:space="preserve"> </w:t>
      </w:r>
      <w:r w:rsidRPr="00A05BD0">
        <w:rPr>
          <w:rFonts w:ascii="Arial" w:hAnsi="Arial" w:cs="Arial"/>
          <w:sz w:val="24"/>
          <w:szCs w:val="24"/>
        </w:rPr>
        <w:t>extrajudicial.</w:t>
      </w:r>
      <w:r>
        <w:rPr>
          <w:rFonts w:ascii="Arial" w:hAnsi="Arial" w:cs="Arial"/>
          <w:sz w:val="24"/>
          <w:szCs w:val="24"/>
        </w:rPr>
        <w:t>” (</w:t>
      </w:r>
      <w:proofErr w:type="spellStart"/>
      <w:r>
        <w:rPr>
          <w:rFonts w:ascii="Arial" w:hAnsi="Arial" w:cs="Arial"/>
          <w:sz w:val="24"/>
          <w:szCs w:val="24"/>
        </w:rPr>
        <w:t>g.n</w:t>
      </w:r>
      <w:proofErr w:type="spellEnd"/>
      <w:r>
        <w:rPr>
          <w:rFonts w:ascii="Arial" w:hAnsi="Arial" w:cs="Arial"/>
          <w:sz w:val="24"/>
          <w:szCs w:val="24"/>
        </w:rPr>
        <w:t>.).</w:t>
      </w:r>
    </w:p>
    <w:p w:rsidR="00A05BD0" w:rsidRDefault="00A05BD0" w:rsidP="00045804">
      <w:pPr>
        <w:ind w:firstLine="3544"/>
        <w:jc w:val="both"/>
        <w:rPr>
          <w:rFonts w:ascii="Arial" w:hAnsi="Arial" w:cs="Arial"/>
          <w:sz w:val="24"/>
          <w:szCs w:val="24"/>
        </w:rPr>
      </w:pPr>
    </w:p>
    <w:p w:rsidR="00477EDE" w:rsidRDefault="00477EDE" w:rsidP="00045804">
      <w:pPr>
        <w:ind w:firstLine="3544"/>
        <w:jc w:val="both"/>
        <w:rPr>
          <w:rFonts w:ascii="Arial" w:hAnsi="Arial" w:cs="Arial"/>
          <w:sz w:val="24"/>
          <w:szCs w:val="24"/>
        </w:rPr>
      </w:pPr>
      <w:r>
        <w:rPr>
          <w:rFonts w:ascii="Arial" w:hAnsi="Arial" w:cs="Arial"/>
          <w:sz w:val="24"/>
          <w:szCs w:val="24"/>
        </w:rPr>
        <w:t>Como se vê, o CNJ firmou posicionamento no sentido de que a via extrajudicial é meramente facultativa, não condicionando ou limitando, em momento algum, o exercício do direito fundamental de ação.</w:t>
      </w:r>
    </w:p>
    <w:p w:rsidR="00477EDE" w:rsidRDefault="00477EDE" w:rsidP="00045804">
      <w:pPr>
        <w:ind w:firstLine="3544"/>
        <w:jc w:val="both"/>
        <w:rPr>
          <w:rFonts w:ascii="Arial" w:hAnsi="Arial" w:cs="Arial"/>
          <w:sz w:val="24"/>
          <w:szCs w:val="24"/>
        </w:rPr>
      </w:pPr>
    </w:p>
    <w:p w:rsidR="00045804" w:rsidRDefault="00045804" w:rsidP="00045804">
      <w:pPr>
        <w:ind w:firstLine="3544"/>
        <w:jc w:val="both"/>
        <w:rPr>
          <w:rFonts w:ascii="Arial" w:hAnsi="Arial" w:cs="Arial"/>
          <w:sz w:val="24"/>
          <w:szCs w:val="24"/>
        </w:rPr>
      </w:pPr>
      <w:r>
        <w:rPr>
          <w:rFonts w:ascii="Arial" w:hAnsi="Arial" w:cs="Arial"/>
          <w:sz w:val="24"/>
          <w:szCs w:val="24"/>
        </w:rPr>
        <w:t xml:space="preserve">Portanto, s.m.j., o Enunciado n° 108, do CEDES (TJRJ) não guarda consonância com a Constituição da República, nem tampouco com a legislação infraconstitucional, motivo pelo qual </w:t>
      </w:r>
      <w:r w:rsidR="00CA17A0">
        <w:rPr>
          <w:rFonts w:ascii="Arial" w:hAnsi="Arial" w:cs="Arial"/>
          <w:sz w:val="24"/>
          <w:szCs w:val="24"/>
        </w:rPr>
        <w:t xml:space="preserve">é infundada </w:t>
      </w:r>
      <w:r>
        <w:rPr>
          <w:rFonts w:ascii="Arial" w:hAnsi="Arial" w:cs="Arial"/>
          <w:sz w:val="24"/>
          <w:szCs w:val="24"/>
        </w:rPr>
        <w:t>a extinção do processo sem resolução</w:t>
      </w:r>
      <w:r w:rsidR="00CA17A0">
        <w:rPr>
          <w:rFonts w:ascii="Arial" w:hAnsi="Arial" w:cs="Arial"/>
          <w:sz w:val="24"/>
          <w:szCs w:val="24"/>
        </w:rPr>
        <w:t xml:space="preserve"> de mérito</w:t>
      </w:r>
      <w:r>
        <w:rPr>
          <w:rFonts w:ascii="Arial" w:hAnsi="Arial" w:cs="Arial"/>
          <w:sz w:val="24"/>
          <w:szCs w:val="24"/>
        </w:rPr>
        <w:t xml:space="preserve"> com </w:t>
      </w:r>
      <w:r w:rsidR="00CA17A0">
        <w:rPr>
          <w:rFonts w:ascii="Arial" w:hAnsi="Arial" w:cs="Arial"/>
          <w:sz w:val="24"/>
          <w:szCs w:val="24"/>
        </w:rPr>
        <w:t>base</w:t>
      </w:r>
      <w:r>
        <w:rPr>
          <w:rFonts w:ascii="Arial" w:hAnsi="Arial" w:cs="Arial"/>
          <w:sz w:val="24"/>
          <w:szCs w:val="24"/>
        </w:rPr>
        <w:t xml:space="preserve"> nessa orientação, deve</w:t>
      </w:r>
      <w:r w:rsidR="00CA17A0">
        <w:rPr>
          <w:rFonts w:ascii="Arial" w:hAnsi="Arial" w:cs="Arial"/>
          <w:sz w:val="24"/>
          <w:szCs w:val="24"/>
        </w:rPr>
        <w:t>ndo</w:t>
      </w:r>
      <w:r>
        <w:rPr>
          <w:rFonts w:ascii="Arial" w:hAnsi="Arial" w:cs="Arial"/>
          <w:sz w:val="24"/>
          <w:szCs w:val="24"/>
        </w:rPr>
        <w:t xml:space="preserve"> ser prontamente refutada, para que o autor da ação – especialmente aquela ação proposta antes da entrada em vigor do Código de Processo Civil de 2015 – opte por iniciar ou prosseguir pela via judicial.</w:t>
      </w:r>
    </w:p>
    <w:p w:rsidR="000A7E9D" w:rsidRDefault="000A7E9D" w:rsidP="00622D50">
      <w:pPr>
        <w:ind w:firstLine="3544"/>
        <w:jc w:val="both"/>
        <w:rPr>
          <w:rFonts w:ascii="Arial" w:hAnsi="Arial" w:cs="Arial"/>
          <w:sz w:val="24"/>
          <w:szCs w:val="24"/>
        </w:rPr>
      </w:pPr>
    </w:p>
    <w:p w:rsidR="0053711C" w:rsidRDefault="00825DB6" w:rsidP="00622D50">
      <w:pPr>
        <w:ind w:firstLine="3544"/>
        <w:jc w:val="both"/>
        <w:rPr>
          <w:rFonts w:ascii="Arial" w:hAnsi="Arial" w:cs="Arial"/>
          <w:sz w:val="24"/>
          <w:szCs w:val="24"/>
        </w:rPr>
      </w:pPr>
      <w:r>
        <w:rPr>
          <w:rFonts w:ascii="Arial" w:hAnsi="Arial" w:cs="Arial"/>
          <w:sz w:val="24"/>
          <w:szCs w:val="24"/>
        </w:rPr>
        <w:t xml:space="preserve">Por </w:t>
      </w:r>
      <w:r w:rsidR="00B00D61">
        <w:rPr>
          <w:rFonts w:ascii="Arial" w:hAnsi="Arial" w:cs="Arial"/>
          <w:sz w:val="24"/>
          <w:szCs w:val="24"/>
        </w:rPr>
        <w:t>fim</w:t>
      </w:r>
      <w:r w:rsidR="00622D50">
        <w:rPr>
          <w:rFonts w:ascii="Arial" w:hAnsi="Arial" w:cs="Arial"/>
          <w:sz w:val="24"/>
          <w:szCs w:val="24"/>
        </w:rPr>
        <w:t xml:space="preserve">, </w:t>
      </w:r>
      <w:r w:rsidR="00B00D61">
        <w:rPr>
          <w:rFonts w:ascii="Arial" w:hAnsi="Arial" w:cs="Arial"/>
          <w:sz w:val="24"/>
          <w:szCs w:val="24"/>
        </w:rPr>
        <w:t>destaque-se que</w:t>
      </w:r>
      <w:r w:rsidR="0053711C">
        <w:rPr>
          <w:rFonts w:ascii="Arial" w:hAnsi="Arial" w:cs="Arial"/>
          <w:sz w:val="24"/>
          <w:szCs w:val="24"/>
        </w:rPr>
        <w:t xml:space="preserve"> o projeto de lei sofreu alterações significativas, abalando substancialmente a eficácia do instituto inicialmente idealizado pelo legislador, principalmente no que tange à imprescindibilidade da concordância dos proprietários ou titulares de direitos sobre o imóvel </w:t>
      </w:r>
      <w:proofErr w:type="spellStart"/>
      <w:r w:rsidR="0053711C">
        <w:rPr>
          <w:rFonts w:ascii="Arial" w:hAnsi="Arial" w:cs="Arial"/>
          <w:sz w:val="24"/>
          <w:szCs w:val="24"/>
        </w:rPr>
        <w:t>usucapiendo</w:t>
      </w:r>
      <w:proofErr w:type="spellEnd"/>
      <w:r w:rsidR="0053711C">
        <w:rPr>
          <w:rFonts w:ascii="Arial" w:hAnsi="Arial" w:cs="Arial"/>
          <w:sz w:val="24"/>
          <w:szCs w:val="24"/>
        </w:rPr>
        <w:t xml:space="preserve"> e sobre os confinantes.</w:t>
      </w:r>
    </w:p>
    <w:p w:rsidR="0053711C" w:rsidRDefault="0053711C" w:rsidP="00622D50">
      <w:pPr>
        <w:ind w:firstLine="3544"/>
        <w:jc w:val="both"/>
        <w:rPr>
          <w:rFonts w:ascii="Arial" w:hAnsi="Arial" w:cs="Arial"/>
          <w:sz w:val="24"/>
          <w:szCs w:val="24"/>
        </w:rPr>
      </w:pPr>
    </w:p>
    <w:p w:rsidR="0053711C" w:rsidRDefault="0053711C" w:rsidP="00622D50">
      <w:pPr>
        <w:ind w:firstLine="3544"/>
        <w:jc w:val="both"/>
        <w:rPr>
          <w:rFonts w:ascii="Arial" w:hAnsi="Arial" w:cs="Arial"/>
          <w:sz w:val="24"/>
          <w:szCs w:val="24"/>
        </w:rPr>
      </w:pPr>
      <w:r>
        <w:rPr>
          <w:rFonts w:ascii="Arial" w:hAnsi="Arial" w:cs="Arial"/>
          <w:sz w:val="24"/>
          <w:szCs w:val="24"/>
        </w:rPr>
        <w:t>Como bem asseverou</w:t>
      </w:r>
      <w:r w:rsidR="008C4007">
        <w:rPr>
          <w:rFonts w:ascii="Arial" w:hAnsi="Arial" w:cs="Arial"/>
          <w:sz w:val="24"/>
          <w:szCs w:val="24"/>
        </w:rPr>
        <w:t xml:space="preserve"> o defensor público</w:t>
      </w:r>
      <w:r>
        <w:rPr>
          <w:rFonts w:ascii="Arial" w:hAnsi="Arial" w:cs="Arial"/>
          <w:sz w:val="24"/>
          <w:szCs w:val="24"/>
        </w:rPr>
        <w:t xml:space="preserve"> </w:t>
      </w:r>
      <w:r w:rsidR="008C4007">
        <w:rPr>
          <w:rFonts w:ascii="Arial" w:hAnsi="Arial" w:cs="Arial"/>
          <w:sz w:val="24"/>
          <w:szCs w:val="24"/>
        </w:rPr>
        <w:t xml:space="preserve">do Estado de São Paulo e doutorando em direito, </w:t>
      </w:r>
      <w:r>
        <w:rPr>
          <w:rFonts w:ascii="Arial" w:hAnsi="Arial" w:cs="Arial"/>
          <w:sz w:val="24"/>
          <w:szCs w:val="24"/>
        </w:rPr>
        <w:t xml:space="preserve">Felipe Pires Pereira </w:t>
      </w:r>
      <w:r>
        <w:rPr>
          <w:rStyle w:val="Refdenotaderodap"/>
          <w:rFonts w:ascii="Arial" w:hAnsi="Arial" w:cs="Arial"/>
          <w:sz w:val="24"/>
          <w:szCs w:val="24"/>
        </w:rPr>
        <w:footnoteReference w:id="6"/>
      </w:r>
      <w:r>
        <w:rPr>
          <w:rFonts w:ascii="Arial" w:hAnsi="Arial" w:cs="Arial"/>
          <w:sz w:val="24"/>
          <w:szCs w:val="24"/>
        </w:rPr>
        <w:t>:</w:t>
      </w:r>
    </w:p>
    <w:p w:rsidR="0053711C" w:rsidRDefault="0053711C" w:rsidP="00622D50">
      <w:pPr>
        <w:ind w:firstLine="3544"/>
        <w:jc w:val="both"/>
        <w:rPr>
          <w:rFonts w:ascii="Arial" w:hAnsi="Arial" w:cs="Arial"/>
          <w:sz w:val="24"/>
          <w:szCs w:val="24"/>
        </w:rPr>
      </w:pPr>
    </w:p>
    <w:p w:rsidR="0053711C" w:rsidRDefault="0053711C" w:rsidP="0053711C">
      <w:pPr>
        <w:ind w:left="708"/>
        <w:jc w:val="both"/>
        <w:rPr>
          <w:rFonts w:ascii="Arial" w:hAnsi="Arial" w:cs="Arial"/>
          <w:sz w:val="24"/>
          <w:szCs w:val="24"/>
        </w:rPr>
      </w:pPr>
      <w:r>
        <w:rPr>
          <w:rFonts w:ascii="Arial" w:hAnsi="Arial" w:cs="Arial"/>
          <w:sz w:val="24"/>
          <w:szCs w:val="24"/>
        </w:rPr>
        <w:t>“</w:t>
      </w:r>
      <w:r w:rsidRPr="0053711C">
        <w:rPr>
          <w:rFonts w:ascii="Arial" w:hAnsi="Arial" w:cs="Arial"/>
          <w:sz w:val="24"/>
          <w:szCs w:val="24"/>
        </w:rPr>
        <w:t>Em síntese, a atual redação do artigo 1.071 do novo CPC (artigo 213-A, LRP) transforma a usucapião extrajudicial em um “procedimento consensual para declaração da aquisição da propriedade”, anunciando, desde já, a falência do instituto na imensa maioria dos casos, que naturalmente envolvem algum conflito de interesses entre as partes ou confinantes, ainda que tal conflito se restrinja à indiferença dos proprietários ou titulares no registro e também dos confinantes em apresentar expressa concordância ao pedido extrajudicial de usucapião.</w:t>
      </w:r>
      <w:r>
        <w:rPr>
          <w:rFonts w:ascii="Arial" w:hAnsi="Arial" w:cs="Arial"/>
          <w:sz w:val="24"/>
          <w:szCs w:val="24"/>
        </w:rPr>
        <w:t>”</w:t>
      </w:r>
    </w:p>
    <w:p w:rsidR="002D55C8" w:rsidRDefault="002D55C8" w:rsidP="0053711C">
      <w:pPr>
        <w:ind w:left="708"/>
        <w:jc w:val="both"/>
        <w:rPr>
          <w:rFonts w:ascii="Arial" w:hAnsi="Arial" w:cs="Arial"/>
          <w:sz w:val="24"/>
          <w:szCs w:val="24"/>
        </w:rPr>
      </w:pPr>
    </w:p>
    <w:p w:rsidR="00B00D61" w:rsidRDefault="002D55C8" w:rsidP="00622D50">
      <w:pPr>
        <w:ind w:firstLine="3544"/>
        <w:jc w:val="both"/>
        <w:rPr>
          <w:rFonts w:ascii="Arial" w:hAnsi="Arial" w:cs="Arial"/>
          <w:sz w:val="24"/>
          <w:szCs w:val="24"/>
        </w:rPr>
      </w:pPr>
      <w:r>
        <w:rPr>
          <w:rFonts w:ascii="Arial" w:hAnsi="Arial" w:cs="Arial"/>
          <w:sz w:val="24"/>
          <w:szCs w:val="24"/>
        </w:rPr>
        <w:t>Assim</w:t>
      </w:r>
      <w:r w:rsidR="00B00D61">
        <w:rPr>
          <w:rFonts w:ascii="Arial" w:hAnsi="Arial" w:cs="Arial"/>
          <w:sz w:val="24"/>
          <w:szCs w:val="24"/>
        </w:rPr>
        <w:t xml:space="preserve">, </w:t>
      </w:r>
      <w:r w:rsidR="00622D50">
        <w:rPr>
          <w:rFonts w:ascii="Arial" w:hAnsi="Arial" w:cs="Arial"/>
          <w:sz w:val="24"/>
          <w:szCs w:val="24"/>
        </w:rPr>
        <w:t>no caso em concreto</w:t>
      </w:r>
      <w:r w:rsidR="00B00D61">
        <w:rPr>
          <w:rFonts w:ascii="Arial" w:hAnsi="Arial" w:cs="Arial"/>
          <w:sz w:val="24"/>
          <w:szCs w:val="24"/>
        </w:rPr>
        <w:t>,</w:t>
      </w:r>
      <w:r w:rsidR="00825DB6">
        <w:rPr>
          <w:rFonts w:ascii="Arial" w:hAnsi="Arial" w:cs="Arial"/>
          <w:sz w:val="24"/>
          <w:szCs w:val="24"/>
        </w:rPr>
        <w:t xml:space="preserve"> vários óbices podem ser apontados, como</w:t>
      </w:r>
      <w:r w:rsidR="00622D50">
        <w:rPr>
          <w:rFonts w:ascii="Arial" w:hAnsi="Arial" w:cs="Arial"/>
          <w:sz w:val="24"/>
          <w:szCs w:val="24"/>
        </w:rPr>
        <w:t xml:space="preserve">, por exemplo, </w:t>
      </w:r>
      <w:r w:rsidR="00E93ECD">
        <w:rPr>
          <w:rFonts w:ascii="Arial" w:hAnsi="Arial" w:cs="Arial"/>
          <w:sz w:val="24"/>
          <w:szCs w:val="24"/>
        </w:rPr>
        <w:t xml:space="preserve">a litigiosidade e </w:t>
      </w:r>
      <w:r w:rsidR="00622D50">
        <w:rPr>
          <w:rFonts w:ascii="Arial" w:hAnsi="Arial" w:cs="Arial"/>
          <w:sz w:val="24"/>
          <w:szCs w:val="24"/>
        </w:rPr>
        <w:t xml:space="preserve">a </w:t>
      </w:r>
      <w:r w:rsidR="00E93ECD">
        <w:rPr>
          <w:rFonts w:ascii="Arial" w:hAnsi="Arial" w:cs="Arial"/>
          <w:sz w:val="24"/>
          <w:szCs w:val="24"/>
        </w:rPr>
        <w:t xml:space="preserve">ausência de </w:t>
      </w:r>
      <w:r w:rsidR="00622D50">
        <w:rPr>
          <w:rFonts w:ascii="Arial" w:hAnsi="Arial" w:cs="Arial"/>
          <w:sz w:val="24"/>
          <w:szCs w:val="24"/>
        </w:rPr>
        <w:t xml:space="preserve">planta assinada também pelos titulares de direitos reais e de outros direitos registrados ou averbados na matrícula do imóvel </w:t>
      </w:r>
      <w:proofErr w:type="spellStart"/>
      <w:r w:rsidR="00622D50">
        <w:rPr>
          <w:rFonts w:ascii="Arial" w:hAnsi="Arial" w:cs="Arial"/>
          <w:sz w:val="24"/>
          <w:szCs w:val="24"/>
        </w:rPr>
        <w:t>usucapiendo</w:t>
      </w:r>
      <w:proofErr w:type="spellEnd"/>
      <w:r w:rsidR="00622D50">
        <w:rPr>
          <w:rFonts w:ascii="Arial" w:hAnsi="Arial" w:cs="Arial"/>
          <w:sz w:val="24"/>
          <w:szCs w:val="24"/>
        </w:rPr>
        <w:t xml:space="preserve"> e na matrícula dos imóveis confinantes, pois, não raro, tais pessoas encontram-se em local incerto e não sabido. </w:t>
      </w:r>
    </w:p>
    <w:p w:rsidR="00B00D61" w:rsidRDefault="00B00D61" w:rsidP="00622D50">
      <w:pPr>
        <w:ind w:firstLine="3544"/>
        <w:jc w:val="both"/>
        <w:rPr>
          <w:rFonts w:ascii="Arial" w:hAnsi="Arial" w:cs="Arial"/>
          <w:sz w:val="24"/>
          <w:szCs w:val="24"/>
        </w:rPr>
      </w:pPr>
    </w:p>
    <w:p w:rsidR="00CA17A0" w:rsidRDefault="00622D50" w:rsidP="00622D50">
      <w:pPr>
        <w:ind w:firstLine="3544"/>
        <w:jc w:val="both"/>
        <w:rPr>
          <w:rFonts w:ascii="Arial" w:hAnsi="Arial" w:cs="Arial"/>
          <w:sz w:val="24"/>
          <w:szCs w:val="24"/>
        </w:rPr>
      </w:pPr>
      <w:r>
        <w:rPr>
          <w:rFonts w:ascii="Arial" w:hAnsi="Arial" w:cs="Arial"/>
          <w:sz w:val="24"/>
          <w:szCs w:val="24"/>
        </w:rPr>
        <w:t xml:space="preserve">Certo é que o parágrafo 2° do artigo 216-A da LRP atribui ao registrador competente a notificação dessas pessoas, </w:t>
      </w:r>
      <w:r w:rsidR="00B00D61">
        <w:rPr>
          <w:rFonts w:ascii="Arial" w:hAnsi="Arial" w:cs="Arial"/>
          <w:sz w:val="24"/>
          <w:szCs w:val="24"/>
        </w:rPr>
        <w:t xml:space="preserve">mas </w:t>
      </w:r>
      <w:r>
        <w:rPr>
          <w:rFonts w:ascii="Arial" w:hAnsi="Arial" w:cs="Arial"/>
          <w:sz w:val="24"/>
          <w:szCs w:val="24"/>
        </w:rPr>
        <w:t xml:space="preserve">o silêncio </w:t>
      </w:r>
      <w:r w:rsidR="00B00D61">
        <w:rPr>
          <w:rFonts w:ascii="Arial" w:hAnsi="Arial" w:cs="Arial"/>
          <w:sz w:val="24"/>
          <w:szCs w:val="24"/>
        </w:rPr>
        <w:t xml:space="preserve">vale </w:t>
      </w:r>
      <w:r>
        <w:rPr>
          <w:rFonts w:ascii="Arial" w:hAnsi="Arial" w:cs="Arial"/>
          <w:sz w:val="24"/>
          <w:szCs w:val="24"/>
        </w:rPr>
        <w:t xml:space="preserve">como </w:t>
      </w:r>
      <w:r>
        <w:rPr>
          <w:rFonts w:ascii="Arial" w:hAnsi="Arial" w:cs="Arial"/>
          <w:i/>
          <w:sz w:val="24"/>
          <w:szCs w:val="24"/>
        </w:rPr>
        <w:t>discordância</w:t>
      </w:r>
      <w:r w:rsidR="00B00D61">
        <w:rPr>
          <w:rFonts w:ascii="Arial" w:hAnsi="Arial" w:cs="Arial"/>
          <w:sz w:val="24"/>
          <w:szCs w:val="24"/>
        </w:rPr>
        <w:t xml:space="preserve">, inviabilizando </w:t>
      </w:r>
      <w:r w:rsidR="00F75634">
        <w:rPr>
          <w:rFonts w:ascii="Arial" w:hAnsi="Arial" w:cs="Arial"/>
          <w:sz w:val="24"/>
          <w:szCs w:val="24"/>
        </w:rPr>
        <w:t>a via extr</w:t>
      </w:r>
      <w:r w:rsidR="002D55C8">
        <w:rPr>
          <w:rFonts w:ascii="Arial" w:hAnsi="Arial" w:cs="Arial"/>
          <w:sz w:val="24"/>
          <w:szCs w:val="24"/>
        </w:rPr>
        <w:t>ajudicial:</w:t>
      </w:r>
    </w:p>
    <w:p w:rsidR="002D55C8" w:rsidRDefault="002D55C8" w:rsidP="00622D50">
      <w:pPr>
        <w:ind w:firstLine="3544"/>
        <w:jc w:val="both"/>
        <w:rPr>
          <w:rFonts w:ascii="Arial" w:hAnsi="Arial" w:cs="Arial"/>
          <w:sz w:val="24"/>
          <w:szCs w:val="24"/>
        </w:rPr>
      </w:pPr>
    </w:p>
    <w:p w:rsidR="002D55C8" w:rsidRDefault="002D55C8" w:rsidP="002D55C8">
      <w:pPr>
        <w:ind w:left="708"/>
        <w:jc w:val="both"/>
        <w:rPr>
          <w:rFonts w:ascii="Arial" w:hAnsi="Arial" w:cs="Arial"/>
          <w:sz w:val="24"/>
          <w:szCs w:val="24"/>
        </w:rPr>
      </w:pPr>
      <w:r>
        <w:rPr>
          <w:rFonts w:ascii="Arial" w:hAnsi="Arial" w:cs="Arial"/>
          <w:sz w:val="24"/>
          <w:szCs w:val="24"/>
        </w:rPr>
        <w:t>“</w:t>
      </w:r>
      <w:r w:rsidRPr="002D55C8">
        <w:rPr>
          <w:rFonts w:ascii="Arial" w:hAnsi="Arial" w:cs="Arial"/>
          <w:sz w:val="24"/>
          <w:szCs w:val="24"/>
        </w:rPr>
        <w:t xml:space="preserve">Portanto, não estando a planta assinada pelos titulares de direito real registrados ou averbados na matrícula e na matrícula dos imóveis confinantes, esses serão notificados para oferecer concordância, </w:t>
      </w:r>
      <w:r w:rsidRPr="002D55C8">
        <w:rPr>
          <w:rFonts w:ascii="Arial" w:hAnsi="Arial" w:cs="Arial"/>
          <w:sz w:val="24"/>
          <w:szCs w:val="24"/>
        </w:rPr>
        <w:lastRenderedPageBreak/>
        <w:t>interpretando o silêncio como discordância, o que acarretará na rejeição do pedido extrajudicial por inadequação da documentação (parágrafo 8º) e a obrigatoriedade de propositura de ação judicial para declaração da usucapião (parágrafo 9º), sepultando de alguma eficácia e utilidade o procedimento de usucapião extrajudicial.</w:t>
      </w:r>
      <w:r>
        <w:rPr>
          <w:rFonts w:ascii="Arial" w:hAnsi="Arial" w:cs="Arial"/>
          <w:sz w:val="24"/>
          <w:szCs w:val="24"/>
        </w:rPr>
        <w:t>”</w:t>
      </w:r>
      <w:r>
        <w:rPr>
          <w:rStyle w:val="Refdenotaderodap"/>
          <w:rFonts w:ascii="Arial" w:hAnsi="Arial" w:cs="Arial"/>
          <w:sz w:val="24"/>
          <w:szCs w:val="24"/>
        </w:rPr>
        <w:footnoteReference w:id="7"/>
      </w:r>
    </w:p>
    <w:p w:rsidR="00F75634" w:rsidRPr="00622D50" w:rsidRDefault="00F75634" w:rsidP="00622D50">
      <w:pPr>
        <w:ind w:firstLine="3544"/>
        <w:jc w:val="both"/>
        <w:rPr>
          <w:rFonts w:ascii="Arial" w:hAnsi="Arial" w:cs="Arial"/>
          <w:sz w:val="24"/>
          <w:szCs w:val="24"/>
        </w:rPr>
      </w:pPr>
    </w:p>
    <w:p w:rsidR="0074171C" w:rsidRDefault="0061550E" w:rsidP="00045804">
      <w:pPr>
        <w:ind w:firstLine="3544"/>
        <w:jc w:val="both"/>
        <w:rPr>
          <w:rFonts w:ascii="Arial" w:hAnsi="Arial" w:cs="Arial"/>
          <w:sz w:val="24"/>
          <w:szCs w:val="24"/>
        </w:rPr>
      </w:pPr>
      <w:r>
        <w:rPr>
          <w:rFonts w:ascii="Arial" w:hAnsi="Arial" w:cs="Arial"/>
          <w:sz w:val="24"/>
          <w:szCs w:val="24"/>
        </w:rPr>
        <w:t xml:space="preserve">Importante elucidar que a alteração promovida pelo Senado Federal do projeto substitutivo vindo da Câmara </w:t>
      </w:r>
      <w:r w:rsidR="0074171C">
        <w:rPr>
          <w:rFonts w:ascii="Arial" w:hAnsi="Arial" w:cs="Arial"/>
          <w:sz w:val="24"/>
          <w:szCs w:val="24"/>
        </w:rPr>
        <w:t xml:space="preserve">dos Deputados </w:t>
      </w:r>
      <w:r>
        <w:rPr>
          <w:rFonts w:ascii="Arial" w:hAnsi="Arial" w:cs="Arial"/>
          <w:sz w:val="24"/>
          <w:szCs w:val="24"/>
        </w:rPr>
        <w:t>é de questionável constitucionalidade, eis que não observou a norma do artigo 65, parágrafo único, da Constituição Federal</w:t>
      </w:r>
      <w:r w:rsidR="0074171C">
        <w:rPr>
          <w:rFonts w:ascii="Arial" w:hAnsi="Arial" w:cs="Arial"/>
          <w:sz w:val="24"/>
          <w:szCs w:val="24"/>
        </w:rPr>
        <w:t>, podendo ser arguida em controle abstrato ou difuso, até mesmo perante o juiz competente em matéria de registros públicos, por provocação do interessado, ao suscitar dúvida em virtude da recusa do oficial do cartório do registro de imóveis no reconhecimento da aquisição da propriedade</w:t>
      </w:r>
      <w:r>
        <w:rPr>
          <w:rFonts w:ascii="Arial" w:hAnsi="Arial" w:cs="Arial"/>
          <w:sz w:val="24"/>
          <w:szCs w:val="24"/>
        </w:rPr>
        <w:t xml:space="preserve">. </w:t>
      </w:r>
    </w:p>
    <w:p w:rsidR="0074171C" w:rsidRDefault="0074171C" w:rsidP="00045804">
      <w:pPr>
        <w:ind w:firstLine="3544"/>
        <w:jc w:val="both"/>
        <w:rPr>
          <w:rFonts w:ascii="Arial" w:hAnsi="Arial" w:cs="Arial"/>
          <w:sz w:val="24"/>
          <w:szCs w:val="24"/>
        </w:rPr>
      </w:pPr>
    </w:p>
    <w:p w:rsidR="00C073C9" w:rsidRDefault="0061550E" w:rsidP="00045804">
      <w:pPr>
        <w:ind w:firstLine="3544"/>
        <w:jc w:val="both"/>
        <w:rPr>
          <w:rFonts w:ascii="Arial" w:hAnsi="Arial" w:cs="Arial"/>
          <w:sz w:val="24"/>
          <w:szCs w:val="24"/>
        </w:rPr>
      </w:pPr>
      <w:r>
        <w:rPr>
          <w:rFonts w:ascii="Arial" w:hAnsi="Arial" w:cs="Arial"/>
          <w:sz w:val="24"/>
          <w:szCs w:val="24"/>
        </w:rPr>
        <w:t xml:space="preserve">Além do mais, a alteração </w:t>
      </w:r>
      <w:r w:rsidR="00670FF7">
        <w:rPr>
          <w:rFonts w:ascii="Arial" w:hAnsi="Arial" w:cs="Arial"/>
          <w:sz w:val="24"/>
          <w:szCs w:val="24"/>
        </w:rPr>
        <w:t xml:space="preserve">no projeto de lei </w:t>
      </w:r>
      <w:r>
        <w:rPr>
          <w:rFonts w:ascii="Arial" w:hAnsi="Arial" w:cs="Arial"/>
          <w:sz w:val="24"/>
          <w:szCs w:val="24"/>
        </w:rPr>
        <w:t xml:space="preserve">trouxe uma disparidade entre o </w:t>
      </w:r>
      <w:r w:rsidR="00C073C9">
        <w:rPr>
          <w:rFonts w:ascii="Arial" w:hAnsi="Arial" w:cs="Arial"/>
          <w:sz w:val="24"/>
          <w:szCs w:val="24"/>
        </w:rPr>
        <w:t xml:space="preserve">próprio </w:t>
      </w:r>
      <w:r>
        <w:rPr>
          <w:rFonts w:ascii="Arial" w:hAnsi="Arial" w:cs="Arial"/>
          <w:sz w:val="24"/>
          <w:szCs w:val="24"/>
        </w:rPr>
        <w:t>instituto da usucapião</w:t>
      </w:r>
      <w:r w:rsidR="00C073C9">
        <w:rPr>
          <w:rFonts w:ascii="Arial" w:hAnsi="Arial" w:cs="Arial"/>
          <w:sz w:val="24"/>
          <w:szCs w:val="24"/>
        </w:rPr>
        <w:t>, que se caracteriza pela inércia do proprietário,</w:t>
      </w:r>
      <w:r>
        <w:rPr>
          <w:rFonts w:ascii="Arial" w:hAnsi="Arial" w:cs="Arial"/>
          <w:sz w:val="24"/>
          <w:szCs w:val="24"/>
        </w:rPr>
        <w:t xml:space="preserve"> e a necessidade de concordância expressa d</w:t>
      </w:r>
      <w:r w:rsidR="00C073C9">
        <w:rPr>
          <w:rFonts w:ascii="Arial" w:hAnsi="Arial" w:cs="Arial"/>
          <w:sz w:val="24"/>
          <w:szCs w:val="24"/>
        </w:rPr>
        <w:t>este para o reconhecimento da aquisição da propriedade, que se deu justamente em virtude daquela omissão:</w:t>
      </w:r>
    </w:p>
    <w:p w:rsidR="00C073C9" w:rsidRDefault="00C073C9" w:rsidP="00045804">
      <w:pPr>
        <w:ind w:firstLine="3544"/>
        <w:jc w:val="both"/>
        <w:rPr>
          <w:rFonts w:ascii="Arial" w:hAnsi="Arial" w:cs="Arial"/>
          <w:sz w:val="24"/>
          <w:szCs w:val="24"/>
        </w:rPr>
      </w:pPr>
    </w:p>
    <w:p w:rsidR="0061550E" w:rsidRDefault="00C073C9" w:rsidP="00670FF7">
      <w:pPr>
        <w:ind w:left="708"/>
        <w:jc w:val="both"/>
        <w:rPr>
          <w:rFonts w:ascii="Arial" w:hAnsi="Arial" w:cs="Arial"/>
          <w:sz w:val="24"/>
          <w:szCs w:val="24"/>
        </w:rPr>
      </w:pPr>
      <w:r>
        <w:rPr>
          <w:rFonts w:ascii="Arial" w:hAnsi="Arial" w:cs="Arial"/>
          <w:sz w:val="24"/>
          <w:szCs w:val="24"/>
        </w:rPr>
        <w:t>“</w:t>
      </w:r>
      <w:r w:rsidRPr="008C4007">
        <w:rPr>
          <w:rFonts w:ascii="Arial" w:hAnsi="Arial" w:cs="Arial"/>
          <w:b/>
          <w:sz w:val="24"/>
          <w:szCs w:val="24"/>
        </w:rPr>
        <w:t>Em síntese: a propriedade foi adquirida em razão da inércia do titular, mas a aquisição não pode ser declarada extrajudicialmente em razão da inércia do titular</w:t>
      </w:r>
      <w:r w:rsidRPr="00C073C9">
        <w:rPr>
          <w:rFonts w:ascii="Arial" w:hAnsi="Arial" w:cs="Arial"/>
          <w:sz w:val="24"/>
          <w:szCs w:val="24"/>
        </w:rPr>
        <w:t>.</w:t>
      </w:r>
      <w:r>
        <w:rPr>
          <w:rFonts w:ascii="Arial" w:hAnsi="Arial" w:cs="Arial"/>
          <w:sz w:val="24"/>
          <w:szCs w:val="24"/>
        </w:rPr>
        <w:t xml:space="preserve">” </w:t>
      </w:r>
      <w:proofErr w:type="gramStart"/>
      <w:r>
        <w:rPr>
          <w:rStyle w:val="Refdenotaderodap"/>
          <w:rFonts w:ascii="Arial" w:hAnsi="Arial" w:cs="Arial"/>
          <w:sz w:val="24"/>
          <w:szCs w:val="24"/>
        </w:rPr>
        <w:footnoteReference w:id="8"/>
      </w:r>
      <w:proofErr w:type="gramEnd"/>
      <w:r>
        <w:rPr>
          <w:rFonts w:ascii="Arial" w:hAnsi="Arial" w:cs="Arial"/>
          <w:sz w:val="24"/>
          <w:szCs w:val="24"/>
        </w:rPr>
        <w:t xml:space="preserve"> </w:t>
      </w:r>
    </w:p>
    <w:p w:rsidR="00670FF7" w:rsidRDefault="00670FF7" w:rsidP="00670FF7">
      <w:pPr>
        <w:ind w:left="708"/>
        <w:jc w:val="both"/>
        <w:rPr>
          <w:rFonts w:ascii="Arial" w:hAnsi="Arial" w:cs="Arial"/>
          <w:sz w:val="24"/>
          <w:szCs w:val="24"/>
        </w:rPr>
      </w:pPr>
    </w:p>
    <w:p w:rsidR="00E93ECD" w:rsidRDefault="00342DB2" w:rsidP="00045804">
      <w:pPr>
        <w:ind w:firstLine="3544"/>
        <w:jc w:val="both"/>
        <w:rPr>
          <w:rFonts w:ascii="Arial" w:hAnsi="Arial" w:cs="Arial"/>
          <w:sz w:val="24"/>
          <w:szCs w:val="24"/>
        </w:rPr>
      </w:pPr>
      <w:r>
        <w:rPr>
          <w:rFonts w:ascii="Arial" w:hAnsi="Arial" w:cs="Arial"/>
          <w:sz w:val="24"/>
          <w:szCs w:val="24"/>
        </w:rPr>
        <w:t>Por fim</w:t>
      </w:r>
      <w:r w:rsidR="00245470">
        <w:rPr>
          <w:rFonts w:ascii="Arial" w:hAnsi="Arial" w:cs="Arial"/>
          <w:sz w:val="24"/>
          <w:szCs w:val="24"/>
        </w:rPr>
        <w:t xml:space="preserve">, </w:t>
      </w:r>
      <w:r>
        <w:rPr>
          <w:rFonts w:ascii="Arial" w:hAnsi="Arial" w:cs="Arial"/>
          <w:sz w:val="24"/>
          <w:szCs w:val="24"/>
        </w:rPr>
        <w:t>deve-se ressaltar que</w:t>
      </w:r>
      <w:r w:rsidR="00245470">
        <w:rPr>
          <w:rFonts w:ascii="Arial" w:hAnsi="Arial" w:cs="Arial"/>
          <w:sz w:val="24"/>
          <w:szCs w:val="24"/>
        </w:rPr>
        <w:t xml:space="preserve"> a usucapião extrajudicial deverá ser instruída com a ata notarial, prevista no artigo 384, do Código de Processo Civil</w:t>
      </w:r>
      <w:r w:rsidR="00E93ECD">
        <w:rPr>
          <w:rFonts w:ascii="Arial" w:hAnsi="Arial" w:cs="Arial"/>
          <w:sz w:val="24"/>
          <w:szCs w:val="24"/>
        </w:rPr>
        <w:t>,</w:t>
      </w:r>
      <w:r w:rsidR="00245470">
        <w:rPr>
          <w:rFonts w:ascii="Arial" w:hAnsi="Arial" w:cs="Arial"/>
          <w:sz w:val="24"/>
          <w:szCs w:val="24"/>
        </w:rPr>
        <w:t xml:space="preserve"> a qual, para ser lavrada, impõe que </w:t>
      </w:r>
      <w:r w:rsidR="00E93ECD">
        <w:rPr>
          <w:rFonts w:ascii="Arial" w:hAnsi="Arial" w:cs="Arial"/>
          <w:sz w:val="24"/>
          <w:szCs w:val="24"/>
        </w:rPr>
        <w:t>o notário ou seu preposto devidamente autorizado se deslo</w:t>
      </w:r>
      <w:r w:rsidR="00245470">
        <w:rPr>
          <w:rFonts w:ascii="Arial" w:hAnsi="Arial" w:cs="Arial"/>
          <w:sz w:val="24"/>
          <w:szCs w:val="24"/>
        </w:rPr>
        <w:t>que</w:t>
      </w:r>
      <w:r w:rsidR="00E93ECD">
        <w:rPr>
          <w:rFonts w:ascii="Arial" w:hAnsi="Arial" w:cs="Arial"/>
          <w:sz w:val="24"/>
          <w:szCs w:val="24"/>
        </w:rPr>
        <w:t xml:space="preserve"> até o imóvel para verificar a exteriorização da posse</w:t>
      </w:r>
      <w:r w:rsidR="00B00D61">
        <w:rPr>
          <w:rFonts w:ascii="Arial" w:hAnsi="Arial" w:cs="Arial"/>
          <w:sz w:val="24"/>
          <w:szCs w:val="24"/>
        </w:rPr>
        <w:t>, o que, na prática, gera</w:t>
      </w:r>
      <w:r>
        <w:rPr>
          <w:rFonts w:ascii="Arial" w:hAnsi="Arial" w:cs="Arial"/>
          <w:sz w:val="24"/>
          <w:szCs w:val="24"/>
        </w:rPr>
        <w:t xml:space="preserve"> inúmeras</w:t>
      </w:r>
      <w:r w:rsidR="00B00D61">
        <w:rPr>
          <w:rFonts w:ascii="Arial" w:hAnsi="Arial" w:cs="Arial"/>
          <w:sz w:val="24"/>
          <w:szCs w:val="24"/>
        </w:rPr>
        <w:t xml:space="preserve"> dificuldades para os interessados hipossuficientes ou vulneráveis</w:t>
      </w:r>
      <w:r>
        <w:rPr>
          <w:rFonts w:ascii="Arial" w:hAnsi="Arial" w:cs="Arial"/>
          <w:sz w:val="24"/>
          <w:szCs w:val="24"/>
        </w:rPr>
        <w:t>, inviabilizando a via administrativa para os beneficiários da gratuidade</w:t>
      </w:r>
      <w:r w:rsidR="00851F44">
        <w:rPr>
          <w:rFonts w:ascii="Arial" w:hAnsi="Arial" w:cs="Arial"/>
          <w:sz w:val="24"/>
          <w:szCs w:val="24"/>
        </w:rPr>
        <w:t xml:space="preserve"> de justiça</w:t>
      </w:r>
      <w:r w:rsidR="00E93ECD">
        <w:rPr>
          <w:rFonts w:ascii="Arial" w:hAnsi="Arial" w:cs="Arial"/>
          <w:sz w:val="24"/>
          <w:szCs w:val="24"/>
        </w:rPr>
        <w:t>.</w:t>
      </w:r>
    </w:p>
    <w:p w:rsidR="00E93ECD" w:rsidRDefault="00E93ECD" w:rsidP="00045804">
      <w:pPr>
        <w:ind w:firstLine="3544"/>
        <w:jc w:val="both"/>
        <w:rPr>
          <w:rFonts w:ascii="Arial" w:hAnsi="Arial" w:cs="Arial"/>
          <w:sz w:val="24"/>
          <w:szCs w:val="24"/>
        </w:rPr>
      </w:pPr>
    </w:p>
    <w:p w:rsidR="00B00D61" w:rsidRDefault="00342DB2" w:rsidP="00045804">
      <w:pPr>
        <w:ind w:firstLine="3544"/>
        <w:jc w:val="both"/>
        <w:rPr>
          <w:rFonts w:ascii="Arial" w:hAnsi="Arial" w:cs="Arial"/>
          <w:sz w:val="24"/>
          <w:szCs w:val="24"/>
        </w:rPr>
      </w:pPr>
      <w:r>
        <w:rPr>
          <w:rFonts w:ascii="Arial" w:hAnsi="Arial" w:cs="Arial"/>
          <w:sz w:val="24"/>
          <w:szCs w:val="24"/>
        </w:rPr>
        <w:t xml:space="preserve">Ante </w:t>
      </w:r>
      <w:r w:rsidR="00B00D61">
        <w:rPr>
          <w:rFonts w:ascii="Arial" w:hAnsi="Arial" w:cs="Arial"/>
          <w:sz w:val="24"/>
          <w:szCs w:val="24"/>
        </w:rPr>
        <w:t xml:space="preserve">o exposto, o Enunciado n° 108, do Aviso Conjunto TJ/CEDES n° 22/2015, não atende à </w:t>
      </w:r>
      <w:proofErr w:type="spellStart"/>
      <w:r w:rsidR="00B00D61">
        <w:rPr>
          <w:rFonts w:ascii="Arial" w:hAnsi="Arial" w:cs="Arial"/>
          <w:sz w:val="24"/>
          <w:szCs w:val="24"/>
        </w:rPr>
        <w:t>principiologia</w:t>
      </w:r>
      <w:proofErr w:type="spellEnd"/>
      <w:r w:rsidR="00B00D61">
        <w:rPr>
          <w:rFonts w:ascii="Arial" w:hAnsi="Arial" w:cs="Arial"/>
          <w:sz w:val="24"/>
          <w:szCs w:val="24"/>
        </w:rPr>
        <w:t xml:space="preserve"> Constitucional, nem tampouco à normativa da Lei n° 6.015/73, com as alterações introduzidas pelo Novo Código de Processo Civil, motivo pelo qual a usucapião extrajudicial deve representar uma </w:t>
      </w:r>
      <w:r w:rsidR="00EC19A4">
        <w:rPr>
          <w:rFonts w:ascii="Arial" w:hAnsi="Arial" w:cs="Arial"/>
          <w:sz w:val="24"/>
          <w:szCs w:val="24"/>
        </w:rPr>
        <w:t xml:space="preserve">mera </w:t>
      </w:r>
      <w:r w:rsidR="00B00D61">
        <w:rPr>
          <w:rFonts w:ascii="Arial" w:hAnsi="Arial" w:cs="Arial"/>
          <w:sz w:val="24"/>
          <w:szCs w:val="24"/>
        </w:rPr>
        <w:t xml:space="preserve">opção do interessado, que ainda dispõe da via judicial para atender ao seu interesse, </w:t>
      </w:r>
      <w:r w:rsidR="00BE121A">
        <w:rPr>
          <w:rFonts w:ascii="Arial" w:hAnsi="Arial" w:cs="Arial"/>
          <w:sz w:val="24"/>
          <w:szCs w:val="24"/>
        </w:rPr>
        <w:t>s</w:t>
      </w:r>
      <w:r w:rsidR="00B00D61">
        <w:rPr>
          <w:rFonts w:ascii="Arial" w:hAnsi="Arial" w:cs="Arial"/>
          <w:sz w:val="24"/>
          <w:szCs w:val="24"/>
        </w:rPr>
        <w:t xml:space="preserve">em </w:t>
      </w:r>
      <w:r w:rsidR="00146F59">
        <w:rPr>
          <w:rFonts w:ascii="Arial" w:hAnsi="Arial" w:cs="Arial"/>
          <w:sz w:val="24"/>
          <w:szCs w:val="24"/>
        </w:rPr>
        <w:t xml:space="preserve">a necessidade de </w:t>
      </w:r>
      <w:r w:rsidR="00EC19A4">
        <w:rPr>
          <w:rFonts w:ascii="Arial" w:hAnsi="Arial" w:cs="Arial"/>
          <w:sz w:val="24"/>
          <w:szCs w:val="24"/>
        </w:rPr>
        <w:t>demonstrar óbice ao pedido na esfera extrajudicial</w:t>
      </w:r>
      <w:r w:rsidR="00BE121A">
        <w:rPr>
          <w:rFonts w:ascii="Arial" w:hAnsi="Arial" w:cs="Arial"/>
          <w:sz w:val="24"/>
          <w:szCs w:val="24"/>
        </w:rPr>
        <w:t>.</w:t>
      </w:r>
    </w:p>
    <w:p w:rsidR="00BE121A" w:rsidRDefault="00BE121A" w:rsidP="00045804">
      <w:pPr>
        <w:ind w:firstLine="3544"/>
        <w:jc w:val="both"/>
        <w:rPr>
          <w:rFonts w:ascii="Arial" w:hAnsi="Arial" w:cs="Arial"/>
          <w:sz w:val="24"/>
          <w:szCs w:val="24"/>
        </w:rPr>
      </w:pPr>
    </w:p>
    <w:p w:rsidR="00BE121A" w:rsidRDefault="00BE121A" w:rsidP="00045804">
      <w:pPr>
        <w:ind w:firstLine="3544"/>
        <w:jc w:val="both"/>
        <w:rPr>
          <w:rFonts w:ascii="Arial" w:hAnsi="Arial" w:cs="Arial"/>
          <w:sz w:val="24"/>
          <w:szCs w:val="24"/>
        </w:rPr>
      </w:pPr>
      <w:r>
        <w:rPr>
          <w:rFonts w:ascii="Arial" w:hAnsi="Arial" w:cs="Arial"/>
          <w:sz w:val="24"/>
          <w:szCs w:val="24"/>
        </w:rPr>
        <w:t>Rio de Janeiro, 7 de abril de 2016.</w:t>
      </w:r>
    </w:p>
    <w:p w:rsidR="00BE121A" w:rsidRDefault="00BE121A" w:rsidP="00045804">
      <w:pPr>
        <w:ind w:firstLine="3544"/>
        <w:jc w:val="both"/>
        <w:rPr>
          <w:rFonts w:ascii="Arial" w:hAnsi="Arial" w:cs="Arial"/>
          <w:sz w:val="24"/>
          <w:szCs w:val="24"/>
        </w:rPr>
      </w:pPr>
    </w:p>
    <w:p w:rsidR="00BE121A" w:rsidRDefault="00BE121A" w:rsidP="00045804">
      <w:pPr>
        <w:ind w:firstLine="3544"/>
        <w:jc w:val="both"/>
        <w:rPr>
          <w:rFonts w:ascii="Arial" w:hAnsi="Arial" w:cs="Arial"/>
          <w:sz w:val="24"/>
          <w:szCs w:val="24"/>
        </w:rPr>
      </w:pPr>
      <w:r>
        <w:rPr>
          <w:rFonts w:ascii="Arial" w:hAnsi="Arial" w:cs="Arial"/>
          <w:sz w:val="24"/>
          <w:szCs w:val="24"/>
        </w:rPr>
        <w:t xml:space="preserve">Adriana </w:t>
      </w:r>
      <w:proofErr w:type="spellStart"/>
      <w:r>
        <w:rPr>
          <w:rFonts w:ascii="Arial" w:hAnsi="Arial" w:cs="Arial"/>
          <w:sz w:val="24"/>
          <w:szCs w:val="24"/>
        </w:rPr>
        <w:t>Araujo</w:t>
      </w:r>
      <w:proofErr w:type="spellEnd"/>
      <w:r>
        <w:rPr>
          <w:rFonts w:ascii="Arial" w:hAnsi="Arial" w:cs="Arial"/>
          <w:sz w:val="24"/>
          <w:szCs w:val="24"/>
        </w:rPr>
        <w:t xml:space="preserve"> João</w:t>
      </w:r>
    </w:p>
    <w:p w:rsidR="00BE121A" w:rsidRDefault="00BE121A" w:rsidP="00045804">
      <w:pPr>
        <w:ind w:firstLine="3544"/>
        <w:jc w:val="both"/>
        <w:rPr>
          <w:rFonts w:ascii="Arial" w:hAnsi="Arial" w:cs="Arial"/>
          <w:sz w:val="24"/>
          <w:szCs w:val="24"/>
        </w:rPr>
      </w:pPr>
      <w:r>
        <w:rPr>
          <w:rFonts w:ascii="Arial" w:hAnsi="Arial" w:cs="Arial"/>
          <w:sz w:val="24"/>
          <w:szCs w:val="24"/>
        </w:rPr>
        <w:t>Coordenadora Cível</w:t>
      </w:r>
    </w:p>
    <w:p w:rsidR="00825DB6" w:rsidRPr="00F04FBF" w:rsidRDefault="00825DB6" w:rsidP="00825DB6">
      <w:pPr>
        <w:jc w:val="both"/>
        <w:rPr>
          <w:rFonts w:ascii="Arial" w:hAnsi="Arial" w:cs="Arial"/>
          <w:sz w:val="24"/>
          <w:szCs w:val="24"/>
        </w:rPr>
      </w:pPr>
    </w:p>
    <w:sectPr w:rsidR="00825DB6" w:rsidRPr="00F04FBF" w:rsidSect="00FB52C4">
      <w:headerReference w:type="default" r:id="rId9"/>
      <w:pgSz w:w="11906" w:h="16838" w:code="9"/>
      <w:pgMar w:top="2268" w:right="1134" w:bottom="851" w:left="1701" w:header="7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806" w:rsidRDefault="00465806" w:rsidP="00D93655">
      <w:r>
        <w:separator/>
      </w:r>
    </w:p>
  </w:endnote>
  <w:endnote w:type="continuationSeparator" w:id="0">
    <w:p w:rsidR="00465806" w:rsidRDefault="00465806" w:rsidP="00D9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806" w:rsidRDefault="00465806" w:rsidP="00D93655">
      <w:r>
        <w:separator/>
      </w:r>
    </w:p>
  </w:footnote>
  <w:footnote w:type="continuationSeparator" w:id="0">
    <w:p w:rsidR="00465806" w:rsidRDefault="00465806" w:rsidP="00D93655">
      <w:r>
        <w:continuationSeparator/>
      </w:r>
    </w:p>
  </w:footnote>
  <w:footnote w:id="1">
    <w:p w:rsidR="005A29F3" w:rsidRDefault="005A29F3">
      <w:pPr>
        <w:pStyle w:val="Textodenotaderodap"/>
      </w:pPr>
      <w:r>
        <w:rPr>
          <w:rStyle w:val="Refdenotaderodap"/>
        </w:rPr>
        <w:footnoteRef/>
      </w:r>
      <w:r>
        <w:t xml:space="preserve"> </w:t>
      </w:r>
      <w:proofErr w:type="spellStart"/>
      <w:r w:rsidRPr="005A29F3">
        <w:t>Fredie</w:t>
      </w:r>
      <w:proofErr w:type="spellEnd"/>
      <w:r w:rsidRPr="005A29F3">
        <w:t xml:space="preserve"> Didier Jr., </w:t>
      </w:r>
      <w:r w:rsidRPr="005A29F3">
        <w:rPr>
          <w:u w:val="single"/>
        </w:rPr>
        <w:t>In</w:t>
      </w:r>
      <w:r w:rsidRPr="005A29F3">
        <w:t xml:space="preserve"> “Curso de Direito Processual Civil – vol. 1”, BA, Jus </w:t>
      </w:r>
      <w:proofErr w:type="spellStart"/>
      <w:r w:rsidRPr="005A29F3">
        <w:t>Podivm</w:t>
      </w:r>
      <w:proofErr w:type="spellEnd"/>
      <w:r w:rsidRPr="005A29F3">
        <w:t>, 2015, 17ª ed., pp.</w:t>
      </w:r>
      <w:r>
        <w:t xml:space="preserve"> 177-178</w:t>
      </w:r>
    </w:p>
  </w:footnote>
  <w:footnote w:id="2">
    <w:p w:rsidR="005A29F3" w:rsidRPr="00216C63" w:rsidRDefault="005A29F3">
      <w:pPr>
        <w:pStyle w:val="Textodenotaderodap"/>
        <w:rPr>
          <w:lang w:val="en-US"/>
        </w:rPr>
      </w:pPr>
      <w:r>
        <w:rPr>
          <w:rStyle w:val="Refdenotaderodap"/>
        </w:rPr>
        <w:footnoteRef/>
      </w:r>
      <w:r w:rsidRPr="00216C63">
        <w:rPr>
          <w:lang w:val="en-US"/>
        </w:rPr>
        <w:t xml:space="preserve"> ob. cit., pp. 179-180</w:t>
      </w:r>
    </w:p>
  </w:footnote>
  <w:footnote w:id="3">
    <w:p w:rsidR="00BE4E40" w:rsidRPr="00846E54" w:rsidRDefault="00BE4E40" w:rsidP="00BE4E40">
      <w:pPr>
        <w:pStyle w:val="Textodenotaderodap"/>
        <w:rPr>
          <w:lang w:val="en-US"/>
        </w:rPr>
      </w:pPr>
      <w:r w:rsidRPr="00BE4E40">
        <w:rPr>
          <w:rStyle w:val="Refdenotaderodap"/>
        </w:rPr>
        <w:footnoteRef/>
      </w:r>
      <w:r w:rsidRPr="00846E54">
        <w:rPr>
          <w:lang w:val="en-US"/>
        </w:rPr>
        <w:t xml:space="preserve"> </w:t>
      </w:r>
      <w:hyperlink r:id="rId1" w:history="1">
        <w:r w:rsidR="00846E54" w:rsidRPr="00846E54">
          <w:rPr>
            <w:rStyle w:val="Hyperlink"/>
            <w:lang w:val="en-US"/>
          </w:rPr>
          <w:t>http://www.migalhas.com.br/Registralhas/98,MI236301,21048-O+novo+CPC+Implicacoes+na+atividade+notarial+e+registral+I</w:t>
        </w:r>
      </w:hyperlink>
      <w:r w:rsidR="00846E54" w:rsidRPr="00846E54">
        <w:rPr>
          <w:lang w:val="en-US"/>
        </w:rPr>
        <w:t xml:space="preserve">; </w:t>
      </w:r>
      <w:proofErr w:type="spellStart"/>
      <w:r w:rsidR="00846E54" w:rsidRPr="00846E54">
        <w:rPr>
          <w:lang w:val="en-US"/>
        </w:rPr>
        <w:t>g.n</w:t>
      </w:r>
      <w:proofErr w:type="spellEnd"/>
      <w:r w:rsidR="00846E54" w:rsidRPr="00846E54">
        <w:rPr>
          <w:lang w:val="en-US"/>
        </w:rPr>
        <w:t>.</w:t>
      </w:r>
    </w:p>
  </w:footnote>
  <w:footnote w:id="4">
    <w:p w:rsidR="008D1CAE" w:rsidRPr="008D1CAE" w:rsidRDefault="008D1CAE">
      <w:pPr>
        <w:pStyle w:val="Textodenotaderodap"/>
        <w:rPr>
          <w:lang w:val="en-US"/>
        </w:rPr>
      </w:pPr>
      <w:r>
        <w:rPr>
          <w:rStyle w:val="Refdenotaderodap"/>
        </w:rPr>
        <w:footnoteRef/>
      </w:r>
      <w:r w:rsidRPr="008D1CAE">
        <w:rPr>
          <w:lang w:val="en-US"/>
        </w:rPr>
        <w:t xml:space="preserve"> </w:t>
      </w:r>
      <w:hyperlink r:id="rId2" w:history="1">
        <w:r w:rsidRPr="00F41E88">
          <w:rPr>
            <w:rStyle w:val="Hyperlink"/>
            <w:lang w:val="en-US"/>
          </w:rPr>
          <w:t>http://www.cpcnovo.com.br/blog/2015/04/23/a-usucapiao-extrajudicial-no-novo-codigo-de-processo-civil/</w:t>
        </w:r>
      </w:hyperlink>
      <w:r>
        <w:rPr>
          <w:lang w:val="en-US"/>
        </w:rPr>
        <w:t xml:space="preserve">; </w:t>
      </w:r>
      <w:proofErr w:type="spellStart"/>
      <w:r>
        <w:rPr>
          <w:lang w:val="en-US"/>
        </w:rPr>
        <w:t>g.n</w:t>
      </w:r>
      <w:proofErr w:type="spellEnd"/>
      <w:r>
        <w:rPr>
          <w:lang w:val="en-US"/>
        </w:rPr>
        <w:t>.</w:t>
      </w:r>
    </w:p>
  </w:footnote>
  <w:footnote w:id="5">
    <w:p w:rsidR="008D1CAE" w:rsidRPr="008D1CAE" w:rsidRDefault="008D1CAE">
      <w:pPr>
        <w:pStyle w:val="Textodenotaderodap"/>
        <w:rPr>
          <w:lang w:val="en-US"/>
        </w:rPr>
      </w:pPr>
      <w:r>
        <w:rPr>
          <w:rStyle w:val="Refdenotaderodap"/>
        </w:rPr>
        <w:footnoteRef/>
      </w:r>
      <w:r w:rsidRPr="008D1CAE">
        <w:rPr>
          <w:lang w:val="en-US"/>
        </w:rPr>
        <w:t xml:space="preserve"> </w:t>
      </w:r>
      <w:hyperlink r:id="rId3" w:history="1">
        <w:r w:rsidRPr="008D1CAE">
          <w:rPr>
            <w:rStyle w:val="Hyperlink"/>
            <w:lang w:val="en-US"/>
          </w:rPr>
          <w:t>http://www.conjur.com.br/2015-mai-18/direito-civil-atual-usucapiao-extrajudicial-codigo-processo-civil</w:t>
        </w:r>
      </w:hyperlink>
      <w:r w:rsidRPr="008D1CAE">
        <w:rPr>
          <w:lang w:val="en-US"/>
        </w:rPr>
        <w:t xml:space="preserve">; </w:t>
      </w:r>
      <w:proofErr w:type="spellStart"/>
      <w:r w:rsidRPr="008D1CAE">
        <w:rPr>
          <w:lang w:val="en-US"/>
        </w:rPr>
        <w:t>g.n</w:t>
      </w:r>
      <w:proofErr w:type="spellEnd"/>
      <w:r w:rsidRPr="008D1CAE">
        <w:rPr>
          <w:lang w:val="en-US"/>
        </w:rPr>
        <w:t>.</w:t>
      </w:r>
    </w:p>
  </w:footnote>
  <w:footnote w:id="6">
    <w:p w:rsidR="0053711C" w:rsidRPr="0053711C" w:rsidRDefault="0053711C">
      <w:pPr>
        <w:pStyle w:val="Textodenotaderodap"/>
        <w:rPr>
          <w:lang w:val="en-US"/>
        </w:rPr>
      </w:pPr>
      <w:r>
        <w:rPr>
          <w:rStyle w:val="Refdenotaderodap"/>
        </w:rPr>
        <w:footnoteRef/>
      </w:r>
      <w:r w:rsidRPr="0053711C">
        <w:rPr>
          <w:lang w:val="en-US"/>
        </w:rPr>
        <w:t xml:space="preserve"> http://www.conjur.com.br/2016-jan-09/interpretacao-silencio-usucapiao-extrajudicial-cpc</w:t>
      </w:r>
    </w:p>
  </w:footnote>
  <w:footnote w:id="7">
    <w:p w:rsidR="002D55C8" w:rsidRDefault="002D55C8">
      <w:pPr>
        <w:pStyle w:val="Textodenotaderodap"/>
      </w:pPr>
      <w:r>
        <w:rPr>
          <w:rStyle w:val="Refdenotaderodap"/>
        </w:rPr>
        <w:footnoteRef/>
      </w:r>
      <w:r>
        <w:t xml:space="preserve"> </w:t>
      </w:r>
      <w:r w:rsidR="005034D3">
        <w:t>Felipe Pires Pereira, ob. cit.</w:t>
      </w:r>
    </w:p>
  </w:footnote>
  <w:footnote w:id="8">
    <w:p w:rsidR="00C073C9" w:rsidRDefault="00C073C9">
      <w:pPr>
        <w:pStyle w:val="Textodenotaderodap"/>
      </w:pPr>
      <w:r>
        <w:rPr>
          <w:rStyle w:val="Refdenotaderodap"/>
        </w:rPr>
        <w:footnoteRef/>
      </w:r>
      <w:r>
        <w:t xml:space="preserve"> Idem</w:t>
      </w:r>
      <w:r w:rsidR="008C4007">
        <w:t xml:space="preserve">; </w:t>
      </w:r>
      <w:proofErr w:type="spellStart"/>
      <w:r w:rsidR="008C4007">
        <w:t>g.n</w:t>
      </w:r>
      <w:proofErr w:type="spellEnd"/>
      <w:r w:rsidR="008C400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BFC" w:rsidRDefault="008B3BFC" w:rsidP="00D93655">
    <w:pPr>
      <w:pStyle w:val="Cabealho"/>
      <w:jc w:val="center"/>
    </w:pPr>
    <w:r>
      <w:rPr>
        <w:noProof/>
      </w:rPr>
      <w:drawing>
        <wp:inline distT="0" distB="0" distL="0" distR="0" wp14:anchorId="546535AB" wp14:editId="49C8BE42">
          <wp:extent cx="3942272" cy="856496"/>
          <wp:effectExtent l="0" t="0" r="1270" b="1270"/>
          <wp:docPr id="1" name="Imagem 1" descr="C:\Users\adriana.britto\Downloads\Logo DP RJ horizontal 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riana.britto\Downloads\Logo DP RJ horizontal P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553" cy="86090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360BC"/>
    <w:multiLevelType w:val="hybridMultilevel"/>
    <w:tmpl w:val="A07085F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D6A31E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
    <w:nsid w:val="744F54ED"/>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655"/>
    <w:rsid w:val="00045804"/>
    <w:rsid w:val="000966BD"/>
    <w:rsid w:val="000A7E9D"/>
    <w:rsid w:val="001220B5"/>
    <w:rsid w:val="00146F59"/>
    <w:rsid w:val="001E70A1"/>
    <w:rsid w:val="00216C63"/>
    <w:rsid w:val="00245470"/>
    <w:rsid w:val="002D55C8"/>
    <w:rsid w:val="00307541"/>
    <w:rsid w:val="00342DB2"/>
    <w:rsid w:val="00437303"/>
    <w:rsid w:val="00465806"/>
    <w:rsid w:val="00477EDE"/>
    <w:rsid w:val="004A1C84"/>
    <w:rsid w:val="004A6CDB"/>
    <w:rsid w:val="004E736E"/>
    <w:rsid w:val="005034D3"/>
    <w:rsid w:val="005231B5"/>
    <w:rsid w:val="0053711C"/>
    <w:rsid w:val="00585167"/>
    <w:rsid w:val="005A29F3"/>
    <w:rsid w:val="005B561B"/>
    <w:rsid w:val="006044DC"/>
    <w:rsid w:val="0061550E"/>
    <w:rsid w:val="00622D50"/>
    <w:rsid w:val="00670FF7"/>
    <w:rsid w:val="00680F35"/>
    <w:rsid w:val="006E0F31"/>
    <w:rsid w:val="0074171C"/>
    <w:rsid w:val="00742CF3"/>
    <w:rsid w:val="00754F74"/>
    <w:rsid w:val="007E7A17"/>
    <w:rsid w:val="00825DB6"/>
    <w:rsid w:val="008270F4"/>
    <w:rsid w:val="00846E54"/>
    <w:rsid w:val="00851F44"/>
    <w:rsid w:val="008B3BFC"/>
    <w:rsid w:val="008B54D0"/>
    <w:rsid w:val="008B585D"/>
    <w:rsid w:val="008C4007"/>
    <w:rsid w:val="008D1CAE"/>
    <w:rsid w:val="008D5BEE"/>
    <w:rsid w:val="00903D5A"/>
    <w:rsid w:val="00986BBE"/>
    <w:rsid w:val="00994147"/>
    <w:rsid w:val="009B2F7E"/>
    <w:rsid w:val="00A05BD0"/>
    <w:rsid w:val="00A17AA1"/>
    <w:rsid w:val="00A705C8"/>
    <w:rsid w:val="00B00D61"/>
    <w:rsid w:val="00B951B0"/>
    <w:rsid w:val="00BC39EA"/>
    <w:rsid w:val="00BE121A"/>
    <w:rsid w:val="00BE4E40"/>
    <w:rsid w:val="00C073C9"/>
    <w:rsid w:val="00C7145F"/>
    <w:rsid w:val="00C940E8"/>
    <w:rsid w:val="00CA17A0"/>
    <w:rsid w:val="00D27E63"/>
    <w:rsid w:val="00D93655"/>
    <w:rsid w:val="00DB4A8B"/>
    <w:rsid w:val="00E40073"/>
    <w:rsid w:val="00E93ECD"/>
    <w:rsid w:val="00EC19A4"/>
    <w:rsid w:val="00F04FBF"/>
    <w:rsid w:val="00F75634"/>
    <w:rsid w:val="00FB029B"/>
    <w:rsid w:val="00FB52C4"/>
    <w:rsid w:val="00FF2D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BF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8B3BFC"/>
    <w:pPr>
      <w:keepNext/>
      <w:pBdr>
        <w:top w:val="thinThickSmallGap" w:sz="24" w:space="1" w:color="auto"/>
        <w:left w:val="thinThickSmallGap" w:sz="24" w:space="4" w:color="auto"/>
        <w:bottom w:val="thickThinSmallGap" w:sz="24" w:space="1" w:color="auto"/>
        <w:right w:val="thickThinSmallGap" w:sz="24" w:space="4" w:color="auto"/>
      </w:pBdr>
      <w:outlineLvl w:val="0"/>
    </w:pPr>
    <w:rPr>
      <w:rFonts w:ascii="Arial" w:hAnsi="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3655"/>
    <w:pPr>
      <w:tabs>
        <w:tab w:val="center" w:pos="4252"/>
        <w:tab w:val="right" w:pos="8504"/>
      </w:tabs>
    </w:pPr>
  </w:style>
  <w:style w:type="character" w:customStyle="1" w:styleId="CabealhoChar">
    <w:name w:val="Cabeçalho Char"/>
    <w:basedOn w:val="Fontepargpadro"/>
    <w:link w:val="Cabealho"/>
    <w:uiPriority w:val="99"/>
    <w:rsid w:val="00D93655"/>
  </w:style>
  <w:style w:type="paragraph" w:styleId="Rodap">
    <w:name w:val="footer"/>
    <w:basedOn w:val="Normal"/>
    <w:link w:val="RodapChar"/>
    <w:uiPriority w:val="99"/>
    <w:unhideWhenUsed/>
    <w:rsid w:val="00D93655"/>
    <w:pPr>
      <w:tabs>
        <w:tab w:val="center" w:pos="4252"/>
        <w:tab w:val="right" w:pos="8504"/>
      </w:tabs>
    </w:pPr>
  </w:style>
  <w:style w:type="character" w:customStyle="1" w:styleId="RodapChar">
    <w:name w:val="Rodapé Char"/>
    <w:basedOn w:val="Fontepargpadro"/>
    <w:link w:val="Rodap"/>
    <w:uiPriority w:val="99"/>
    <w:rsid w:val="00D93655"/>
  </w:style>
  <w:style w:type="paragraph" w:styleId="Textodebalo">
    <w:name w:val="Balloon Text"/>
    <w:basedOn w:val="Normal"/>
    <w:link w:val="TextodebaloChar"/>
    <w:uiPriority w:val="99"/>
    <w:semiHidden/>
    <w:unhideWhenUsed/>
    <w:rsid w:val="00D93655"/>
    <w:rPr>
      <w:rFonts w:ascii="Tahoma" w:hAnsi="Tahoma" w:cs="Tahoma"/>
      <w:sz w:val="16"/>
      <w:szCs w:val="16"/>
    </w:rPr>
  </w:style>
  <w:style w:type="character" w:customStyle="1" w:styleId="TextodebaloChar">
    <w:name w:val="Texto de balão Char"/>
    <w:basedOn w:val="Fontepargpadro"/>
    <w:link w:val="Textodebalo"/>
    <w:uiPriority w:val="99"/>
    <w:semiHidden/>
    <w:rsid w:val="00D93655"/>
    <w:rPr>
      <w:rFonts w:ascii="Tahoma" w:hAnsi="Tahoma" w:cs="Tahoma"/>
      <w:sz w:val="16"/>
      <w:szCs w:val="16"/>
    </w:rPr>
  </w:style>
  <w:style w:type="character" w:customStyle="1" w:styleId="Ttulo1Char">
    <w:name w:val="Título 1 Char"/>
    <w:basedOn w:val="Fontepargpadro"/>
    <w:link w:val="Ttulo1"/>
    <w:rsid w:val="008B3BFC"/>
    <w:rPr>
      <w:rFonts w:ascii="Arial" w:eastAsia="Times New Roman" w:hAnsi="Arial" w:cs="Times New Roman"/>
      <w:b/>
      <w:sz w:val="28"/>
      <w:szCs w:val="20"/>
      <w:lang w:eastAsia="pt-BR"/>
    </w:rPr>
  </w:style>
  <w:style w:type="paragraph" w:styleId="Corpodetexto">
    <w:name w:val="Body Text"/>
    <w:basedOn w:val="Normal"/>
    <w:link w:val="CorpodetextoChar"/>
    <w:rsid w:val="008B3BFC"/>
    <w:rPr>
      <w:sz w:val="28"/>
    </w:rPr>
  </w:style>
  <w:style w:type="character" w:customStyle="1" w:styleId="CorpodetextoChar">
    <w:name w:val="Corpo de texto Char"/>
    <w:basedOn w:val="Fontepargpadro"/>
    <w:link w:val="Corpodetexto"/>
    <w:rsid w:val="008B3BFC"/>
    <w:rPr>
      <w:rFonts w:ascii="Times New Roman" w:eastAsia="Times New Roman" w:hAnsi="Times New Roman" w:cs="Times New Roman"/>
      <w:sz w:val="28"/>
      <w:szCs w:val="20"/>
      <w:lang w:eastAsia="pt-BR"/>
    </w:rPr>
  </w:style>
  <w:style w:type="character" w:styleId="Hyperlink">
    <w:name w:val="Hyperlink"/>
    <w:basedOn w:val="Fontepargpadro"/>
    <w:uiPriority w:val="99"/>
    <w:unhideWhenUsed/>
    <w:rsid w:val="005A29F3"/>
    <w:rPr>
      <w:color w:val="0000FF" w:themeColor="hyperlink"/>
      <w:u w:val="single"/>
    </w:rPr>
  </w:style>
  <w:style w:type="paragraph" w:styleId="Textodenotadefim">
    <w:name w:val="endnote text"/>
    <w:basedOn w:val="Normal"/>
    <w:link w:val="TextodenotadefimChar"/>
    <w:uiPriority w:val="99"/>
    <w:semiHidden/>
    <w:unhideWhenUsed/>
    <w:rsid w:val="005A29F3"/>
  </w:style>
  <w:style w:type="character" w:customStyle="1" w:styleId="TextodenotadefimChar">
    <w:name w:val="Texto de nota de fim Char"/>
    <w:basedOn w:val="Fontepargpadro"/>
    <w:link w:val="Textodenotadefim"/>
    <w:uiPriority w:val="99"/>
    <w:semiHidden/>
    <w:rsid w:val="005A29F3"/>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A29F3"/>
    <w:rPr>
      <w:vertAlign w:val="superscript"/>
    </w:rPr>
  </w:style>
  <w:style w:type="paragraph" w:styleId="Textodenotaderodap">
    <w:name w:val="footnote text"/>
    <w:basedOn w:val="Normal"/>
    <w:link w:val="TextodenotaderodapChar"/>
    <w:uiPriority w:val="99"/>
    <w:semiHidden/>
    <w:unhideWhenUsed/>
    <w:rsid w:val="005A29F3"/>
  </w:style>
  <w:style w:type="character" w:customStyle="1" w:styleId="TextodenotaderodapChar">
    <w:name w:val="Texto de nota de rodapé Char"/>
    <w:basedOn w:val="Fontepargpadro"/>
    <w:link w:val="Textodenotaderodap"/>
    <w:uiPriority w:val="99"/>
    <w:semiHidden/>
    <w:rsid w:val="005A29F3"/>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A29F3"/>
    <w:rPr>
      <w:vertAlign w:val="superscript"/>
    </w:rPr>
  </w:style>
  <w:style w:type="paragraph" w:styleId="PargrafodaLista">
    <w:name w:val="List Paragraph"/>
    <w:basedOn w:val="Normal"/>
    <w:uiPriority w:val="34"/>
    <w:qFormat/>
    <w:rsid w:val="00622D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BF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8B3BFC"/>
    <w:pPr>
      <w:keepNext/>
      <w:pBdr>
        <w:top w:val="thinThickSmallGap" w:sz="24" w:space="1" w:color="auto"/>
        <w:left w:val="thinThickSmallGap" w:sz="24" w:space="4" w:color="auto"/>
        <w:bottom w:val="thickThinSmallGap" w:sz="24" w:space="1" w:color="auto"/>
        <w:right w:val="thickThinSmallGap" w:sz="24" w:space="4" w:color="auto"/>
      </w:pBdr>
      <w:outlineLvl w:val="0"/>
    </w:pPr>
    <w:rPr>
      <w:rFonts w:ascii="Arial" w:hAnsi="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3655"/>
    <w:pPr>
      <w:tabs>
        <w:tab w:val="center" w:pos="4252"/>
        <w:tab w:val="right" w:pos="8504"/>
      </w:tabs>
    </w:pPr>
  </w:style>
  <w:style w:type="character" w:customStyle="1" w:styleId="CabealhoChar">
    <w:name w:val="Cabeçalho Char"/>
    <w:basedOn w:val="Fontepargpadro"/>
    <w:link w:val="Cabealho"/>
    <w:uiPriority w:val="99"/>
    <w:rsid w:val="00D93655"/>
  </w:style>
  <w:style w:type="paragraph" w:styleId="Rodap">
    <w:name w:val="footer"/>
    <w:basedOn w:val="Normal"/>
    <w:link w:val="RodapChar"/>
    <w:uiPriority w:val="99"/>
    <w:unhideWhenUsed/>
    <w:rsid w:val="00D93655"/>
    <w:pPr>
      <w:tabs>
        <w:tab w:val="center" w:pos="4252"/>
        <w:tab w:val="right" w:pos="8504"/>
      </w:tabs>
    </w:pPr>
  </w:style>
  <w:style w:type="character" w:customStyle="1" w:styleId="RodapChar">
    <w:name w:val="Rodapé Char"/>
    <w:basedOn w:val="Fontepargpadro"/>
    <w:link w:val="Rodap"/>
    <w:uiPriority w:val="99"/>
    <w:rsid w:val="00D93655"/>
  </w:style>
  <w:style w:type="paragraph" w:styleId="Textodebalo">
    <w:name w:val="Balloon Text"/>
    <w:basedOn w:val="Normal"/>
    <w:link w:val="TextodebaloChar"/>
    <w:uiPriority w:val="99"/>
    <w:semiHidden/>
    <w:unhideWhenUsed/>
    <w:rsid w:val="00D93655"/>
    <w:rPr>
      <w:rFonts w:ascii="Tahoma" w:hAnsi="Tahoma" w:cs="Tahoma"/>
      <w:sz w:val="16"/>
      <w:szCs w:val="16"/>
    </w:rPr>
  </w:style>
  <w:style w:type="character" w:customStyle="1" w:styleId="TextodebaloChar">
    <w:name w:val="Texto de balão Char"/>
    <w:basedOn w:val="Fontepargpadro"/>
    <w:link w:val="Textodebalo"/>
    <w:uiPriority w:val="99"/>
    <w:semiHidden/>
    <w:rsid w:val="00D93655"/>
    <w:rPr>
      <w:rFonts w:ascii="Tahoma" w:hAnsi="Tahoma" w:cs="Tahoma"/>
      <w:sz w:val="16"/>
      <w:szCs w:val="16"/>
    </w:rPr>
  </w:style>
  <w:style w:type="character" w:customStyle="1" w:styleId="Ttulo1Char">
    <w:name w:val="Título 1 Char"/>
    <w:basedOn w:val="Fontepargpadro"/>
    <w:link w:val="Ttulo1"/>
    <w:rsid w:val="008B3BFC"/>
    <w:rPr>
      <w:rFonts w:ascii="Arial" w:eastAsia="Times New Roman" w:hAnsi="Arial" w:cs="Times New Roman"/>
      <w:b/>
      <w:sz w:val="28"/>
      <w:szCs w:val="20"/>
      <w:lang w:eastAsia="pt-BR"/>
    </w:rPr>
  </w:style>
  <w:style w:type="paragraph" w:styleId="Corpodetexto">
    <w:name w:val="Body Text"/>
    <w:basedOn w:val="Normal"/>
    <w:link w:val="CorpodetextoChar"/>
    <w:rsid w:val="008B3BFC"/>
    <w:rPr>
      <w:sz w:val="28"/>
    </w:rPr>
  </w:style>
  <w:style w:type="character" w:customStyle="1" w:styleId="CorpodetextoChar">
    <w:name w:val="Corpo de texto Char"/>
    <w:basedOn w:val="Fontepargpadro"/>
    <w:link w:val="Corpodetexto"/>
    <w:rsid w:val="008B3BFC"/>
    <w:rPr>
      <w:rFonts w:ascii="Times New Roman" w:eastAsia="Times New Roman" w:hAnsi="Times New Roman" w:cs="Times New Roman"/>
      <w:sz w:val="28"/>
      <w:szCs w:val="20"/>
      <w:lang w:eastAsia="pt-BR"/>
    </w:rPr>
  </w:style>
  <w:style w:type="character" w:styleId="Hyperlink">
    <w:name w:val="Hyperlink"/>
    <w:basedOn w:val="Fontepargpadro"/>
    <w:uiPriority w:val="99"/>
    <w:unhideWhenUsed/>
    <w:rsid w:val="005A29F3"/>
    <w:rPr>
      <w:color w:val="0000FF" w:themeColor="hyperlink"/>
      <w:u w:val="single"/>
    </w:rPr>
  </w:style>
  <w:style w:type="paragraph" w:styleId="Textodenotadefim">
    <w:name w:val="endnote text"/>
    <w:basedOn w:val="Normal"/>
    <w:link w:val="TextodenotadefimChar"/>
    <w:uiPriority w:val="99"/>
    <w:semiHidden/>
    <w:unhideWhenUsed/>
    <w:rsid w:val="005A29F3"/>
  </w:style>
  <w:style w:type="character" w:customStyle="1" w:styleId="TextodenotadefimChar">
    <w:name w:val="Texto de nota de fim Char"/>
    <w:basedOn w:val="Fontepargpadro"/>
    <w:link w:val="Textodenotadefim"/>
    <w:uiPriority w:val="99"/>
    <w:semiHidden/>
    <w:rsid w:val="005A29F3"/>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A29F3"/>
    <w:rPr>
      <w:vertAlign w:val="superscript"/>
    </w:rPr>
  </w:style>
  <w:style w:type="paragraph" w:styleId="Textodenotaderodap">
    <w:name w:val="footnote text"/>
    <w:basedOn w:val="Normal"/>
    <w:link w:val="TextodenotaderodapChar"/>
    <w:uiPriority w:val="99"/>
    <w:semiHidden/>
    <w:unhideWhenUsed/>
    <w:rsid w:val="005A29F3"/>
  </w:style>
  <w:style w:type="character" w:customStyle="1" w:styleId="TextodenotaderodapChar">
    <w:name w:val="Texto de nota de rodapé Char"/>
    <w:basedOn w:val="Fontepargpadro"/>
    <w:link w:val="Textodenotaderodap"/>
    <w:uiPriority w:val="99"/>
    <w:semiHidden/>
    <w:rsid w:val="005A29F3"/>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A29F3"/>
    <w:rPr>
      <w:vertAlign w:val="superscript"/>
    </w:rPr>
  </w:style>
  <w:style w:type="paragraph" w:styleId="PargrafodaLista">
    <w:name w:val="List Paragraph"/>
    <w:basedOn w:val="Normal"/>
    <w:uiPriority w:val="34"/>
    <w:qFormat/>
    <w:rsid w:val="00622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38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conjur.com.br/2015-mai-18/direito-civil-atual-usucapiao-extrajudicial-codigo-processo-civil" TargetMode="External"/><Relationship Id="rId2" Type="http://schemas.openxmlformats.org/officeDocument/2006/relationships/hyperlink" Target="http://www.cpcnovo.com.br/blog/2015/04/23/a-usucapiao-extrajudicial-no-novo-codigo-de-processo-civil/" TargetMode="External"/><Relationship Id="rId1" Type="http://schemas.openxmlformats.org/officeDocument/2006/relationships/hyperlink" Target="http://www.migalhas.com.br/Registralhas/98,MI236301,21048-O+novo+CPC+Implicacoes+na+atividade+notarial+e+registral+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059B52-1CC4-420F-A945-074DEB854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2417</Words>
  <Characters>13053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Silva Britto</dc:creator>
  <cp:lastModifiedBy>Adriana Araujo João</cp:lastModifiedBy>
  <cp:revision>2</cp:revision>
  <dcterms:created xsi:type="dcterms:W3CDTF">2016-04-13T19:07:00Z</dcterms:created>
  <dcterms:modified xsi:type="dcterms:W3CDTF">2016-04-13T19:07:00Z</dcterms:modified>
</cp:coreProperties>
</file>